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356" w:rsidRPr="00F75131" w:rsidRDefault="00847356" w:rsidP="00847356">
      <w:pPr>
        <w:spacing w:after="0" w:line="240" w:lineRule="auto"/>
        <w:jc w:val="center"/>
        <w:rPr>
          <w:rFonts w:cs="Times New Roman"/>
          <w:bCs/>
          <w:sz w:val="24"/>
          <w:szCs w:val="24"/>
        </w:rPr>
      </w:pPr>
      <w:r w:rsidRPr="00F75131">
        <w:rPr>
          <w:rFonts w:cs="Times New Roman"/>
          <w:bCs/>
          <w:sz w:val="24"/>
          <w:szCs w:val="24"/>
        </w:rPr>
        <w:t xml:space="preserve">American Chemical Society   </w:t>
      </w:r>
    </w:p>
    <w:p w:rsidR="00847356" w:rsidRPr="00F75131" w:rsidRDefault="00847356" w:rsidP="00847356">
      <w:pPr>
        <w:spacing w:after="0" w:line="240" w:lineRule="auto"/>
        <w:jc w:val="center"/>
        <w:rPr>
          <w:rFonts w:cs="Times New Roman"/>
          <w:bCs/>
          <w:sz w:val="24"/>
          <w:szCs w:val="24"/>
        </w:rPr>
      </w:pPr>
      <w:r w:rsidRPr="00F75131">
        <w:rPr>
          <w:rFonts w:cs="Times New Roman"/>
          <w:bCs/>
          <w:sz w:val="24"/>
          <w:szCs w:val="24"/>
        </w:rPr>
        <w:t>24</w:t>
      </w:r>
      <w:r w:rsidR="001C1073" w:rsidRPr="00F75131">
        <w:rPr>
          <w:rFonts w:cs="Times New Roman"/>
          <w:bCs/>
          <w:sz w:val="24"/>
          <w:szCs w:val="24"/>
        </w:rPr>
        <w:t>9</w:t>
      </w:r>
      <w:r w:rsidRPr="00F75131">
        <w:rPr>
          <w:rFonts w:cs="Times New Roman"/>
          <w:bCs/>
          <w:sz w:val="24"/>
          <w:szCs w:val="24"/>
          <w:vertAlign w:val="superscript"/>
        </w:rPr>
        <w:t>th</w:t>
      </w:r>
      <w:r w:rsidRPr="00F75131">
        <w:rPr>
          <w:rFonts w:cs="Times New Roman"/>
          <w:bCs/>
          <w:sz w:val="24"/>
          <w:szCs w:val="24"/>
        </w:rPr>
        <w:t xml:space="preserve"> ACS National Meeting </w:t>
      </w:r>
    </w:p>
    <w:p w:rsidR="00847356" w:rsidRPr="00F75131" w:rsidRDefault="001C1073" w:rsidP="00847356">
      <w:pPr>
        <w:spacing w:after="0" w:line="240" w:lineRule="auto"/>
        <w:jc w:val="center"/>
        <w:rPr>
          <w:rFonts w:cs="Times New Roman"/>
          <w:bCs/>
          <w:sz w:val="24"/>
          <w:szCs w:val="24"/>
        </w:rPr>
      </w:pPr>
      <w:r w:rsidRPr="00F75131">
        <w:rPr>
          <w:rFonts w:cs="Times New Roman"/>
          <w:bCs/>
          <w:sz w:val="24"/>
          <w:szCs w:val="24"/>
        </w:rPr>
        <w:t>Denver, Colorado</w:t>
      </w:r>
    </w:p>
    <w:p w:rsidR="00847356" w:rsidRPr="00F75131" w:rsidRDefault="001C1073" w:rsidP="00847356">
      <w:pPr>
        <w:pStyle w:val="Heading1"/>
        <w:rPr>
          <w:rFonts w:asciiTheme="minorHAnsi" w:hAnsiTheme="minorHAnsi"/>
          <w:b w:val="0"/>
        </w:rPr>
      </w:pPr>
      <w:r w:rsidRPr="00F75131">
        <w:rPr>
          <w:rFonts w:asciiTheme="minorHAnsi" w:hAnsiTheme="minorHAnsi"/>
          <w:b w:val="0"/>
        </w:rPr>
        <w:t>March 22-26, 2015</w:t>
      </w:r>
    </w:p>
    <w:p w:rsidR="00847356" w:rsidRDefault="00847356" w:rsidP="0054246A">
      <w:pPr>
        <w:spacing w:after="0" w:line="240" w:lineRule="auto"/>
        <w:rPr>
          <w:sz w:val="40"/>
        </w:rPr>
      </w:pPr>
    </w:p>
    <w:p w:rsidR="001A3933" w:rsidRDefault="003B69CE" w:rsidP="004F680B">
      <w:pPr>
        <w:spacing w:after="0" w:line="240" w:lineRule="auto"/>
        <w:jc w:val="center"/>
        <w:rPr>
          <w:sz w:val="40"/>
        </w:rPr>
      </w:pPr>
      <w:r w:rsidRPr="0054246A">
        <w:rPr>
          <w:sz w:val="40"/>
        </w:rPr>
        <w:t>Summary of Governance Issues and Actions</w:t>
      </w:r>
    </w:p>
    <w:p w:rsidR="004F680B" w:rsidRDefault="004F680B" w:rsidP="00DD7C67">
      <w:pPr>
        <w:rPr>
          <w:sz w:val="28"/>
        </w:rPr>
      </w:pPr>
    </w:p>
    <w:p w:rsidR="00DD7C67" w:rsidRDefault="00DD7C67" w:rsidP="00DD7C67">
      <w:pPr>
        <w:rPr>
          <w:sz w:val="28"/>
        </w:rPr>
      </w:pPr>
      <w:r w:rsidRPr="001D42BE">
        <w:rPr>
          <w:sz w:val="28"/>
        </w:rPr>
        <w:t xml:space="preserve">Actions of the Council </w:t>
      </w:r>
    </w:p>
    <w:p w:rsidR="007C5FD1" w:rsidRPr="007C5FD1" w:rsidRDefault="007C5FD1" w:rsidP="007C5FD1">
      <w:pPr>
        <w:rPr>
          <w:sz w:val="24"/>
          <w:u w:val="single"/>
        </w:rPr>
      </w:pPr>
      <w:r w:rsidRPr="007C5FD1">
        <w:rPr>
          <w:sz w:val="24"/>
          <w:u w:val="single"/>
        </w:rPr>
        <w:t xml:space="preserve">Election Results </w:t>
      </w:r>
    </w:p>
    <w:p w:rsidR="007C5FD1" w:rsidRPr="00A37E0F" w:rsidRDefault="007C5FD1" w:rsidP="00A37E0F">
      <w:pPr>
        <w:numPr>
          <w:ilvl w:val="0"/>
          <w:numId w:val="16"/>
        </w:numPr>
        <w:spacing w:after="0" w:line="240" w:lineRule="auto"/>
        <w:rPr>
          <w:rFonts w:eastAsia="Times New Roman" w:cs="Times New Roman"/>
          <w:b/>
          <w:bCs/>
          <w:szCs w:val="24"/>
        </w:rPr>
      </w:pPr>
      <w:r w:rsidRPr="00A37E0F">
        <w:rPr>
          <w:rFonts w:eastAsia="Times New Roman" w:cs="Times New Roman"/>
          <w:szCs w:val="24"/>
        </w:rPr>
        <w:t>The Committee on Nominations and Elections presented to the Council the following nominees for selection as candidates for President-Elect, 201</w:t>
      </w:r>
      <w:r w:rsidR="00692031" w:rsidRPr="00A37E0F">
        <w:rPr>
          <w:rFonts w:eastAsia="Times New Roman" w:cs="Times New Roman"/>
          <w:szCs w:val="24"/>
        </w:rPr>
        <w:t>6</w:t>
      </w:r>
      <w:r w:rsidRPr="00A37E0F">
        <w:rPr>
          <w:rFonts w:eastAsia="Times New Roman" w:cs="Times New Roman"/>
          <w:szCs w:val="24"/>
        </w:rPr>
        <w:t xml:space="preserve">: </w:t>
      </w:r>
      <w:r w:rsidR="00A37E0F" w:rsidRPr="00A37E0F">
        <w:rPr>
          <w:rFonts w:eastAsia="Times New Roman" w:cs="Times New Roman"/>
          <w:szCs w:val="24"/>
        </w:rPr>
        <w:t>G. Bryan Balazs, Allison A. Campbell, David J. Lohse, and Christopher J. Welch</w:t>
      </w:r>
      <w:r w:rsidR="00A37E0F">
        <w:rPr>
          <w:rFonts w:eastAsia="Times New Roman" w:cs="Times New Roman"/>
          <w:szCs w:val="24"/>
        </w:rPr>
        <w:t xml:space="preserve">. </w:t>
      </w:r>
      <w:r w:rsidRPr="00A37E0F">
        <w:rPr>
          <w:rFonts w:eastAsia="Times New Roman" w:cs="Times New Roman"/>
          <w:szCs w:val="24"/>
        </w:rPr>
        <w:t xml:space="preserve">By electronic ballot, the Council selected </w:t>
      </w:r>
      <w:r w:rsidR="000A1EF6">
        <w:rPr>
          <w:rFonts w:eastAsia="Times New Roman" w:cs="Times New Roman"/>
          <w:b/>
          <w:szCs w:val="24"/>
        </w:rPr>
        <w:t xml:space="preserve">G. Bryan Balazs </w:t>
      </w:r>
      <w:r w:rsidR="000A1EF6">
        <w:rPr>
          <w:rFonts w:eastAsia="Times New Roman" w:cs="Times New Roman"/>
          <w:szCs w:val="24"/>
        </w:rPr>
        <w:t xml:space="preserve">and </w:t>
      </w:r>
      <w:r w:rsidR="000A1EF6">
        <w:rPr>
          <w:rFonts w:eastAsia="Times New Roman" w:cs="Times New Roman"/>
          <w:b/>
          <w:szCs w:val="24"/>
        </w:rPr>
        <w:t xml:space="preserve">Allison A. Campbell </w:t>
      </w:r>
      <w:r w:rsidRPr="00A37E0F">
        <w:rPr>
          <w:rFonts w:eastAsia="Times New Roman" w:cs="Times New Roman"/>
          <w:szCs w:val="24"/>
        </w:rPr>
        <w:t xml:space="preserve">as </w:t>
      </w:r>
      <w:r w:rsidRPr="00A37E0F">
        <w:rPr>
          <w:rFonts w:eastAsia="Times New Roman" w:cs="Times New Roman"/>
          <w:b/>
          <w:szCs w:val="24"/>
        </w:rPr>
        <w:t>candidates for 201</w:t>
      </w:r>
      <w:r w:rsidR="000A1EF6">
        <w:rPr>
          <w:rFonts w:eastAsia="Times New Roman" w:cs="Times New Roman"/>
          <w:b/>
          <w:szCs w:val="24"/>
        </w:rPr>
        <w:t>6</w:t>
      </w:r>
      <w:r w:rsidRPr="00A37E0F">
        <w:rPr>
          <w:rFonts w:eastAsia="Times New Roman" w:cs="Times New Roman"/>
          <w:b/>
          <w:szCs w:val="24"/>
        </w:rPr>
        <w:t xml:space="preserve"> President-Elect</w:t>
      </w:r>
      <w:r w:rsidRPr="00A37E0F">
        <w:rPr>
          <w:rFonts w:eastAsia="Times New Roman" w:cs="Times New Roman"/>
          <w:szCs w:val="24"/>
        </w:rPr>
        <w:t xml:space="preserve">.  These two candidates, along with any candidates selected via petitions, will stand for election in the Fall National Election. </w:t>
      </w:r>
    </w:p>
    <w:p w:rsidR="004F680B" w:rsidRDefault="004F680B" w:rsidP="007C5FD1">
      <w:pPr>
        <w:spacing w:after="0" w:line="240" w:lineRule="auto"/>
        <w:rPr>
          <w:rFonts w:eastAsia="Times New Roman" w:cs="Times New Roman"/>
          <w:b/>
          <w:szCs w:val="24"/>
        </w:rPr>
      </w:pPr>
    </w:p>
    <w:p w:rsidR="007C5FD1" w:rsidRPr="007C5FD1" w:rsidRDefault="007C5FD1" w:rsidP="007C5FD1">
      <w:pPr>
        <w:spacing w:after="0" w:line="240" w:lineRule="auto"/>
        <w:rPr>
          <w:rFonts w:eastAsia="Times New Roman" w:cs="Times New Roman"/>
          <w:b/>
          <w:szCs w:val="24"/>
        </w:rPr>
      </w:pPr>
      <w:r w:rsidRPr="007C5FD1">
        <w:rPr>
          <w:rFonts w:eastAsia="Times New Roman" w:cs="Times New Roman"/>
          <w:b/>
          <w:szCs w:val="24"/>
        </w:rPr>
        <w:t>Candidates for Directors-at-Large</w:t>
      </w:r>
    </w:p>
    <w:p w:rsidR="007C5FD1" w:rsidRPr="00284E6C" w:rsidRDefault="007C5FD1" w:rsidP="00284E6C">
      <w:pPr>
        <w:pStyle w:val="ListParagraph"/>
        <w:numPr>
          <w:ilvl w:val="0"/>
          <w:numId w:val="21"/>
        </w:numPr>
        <w:spacing w:after="0" w:line="240" w:lineRule="auto"/>
        <w:rPr>
          <w:rFonts w:eastAsia="Times New Roman" w:cs="Times New Roman"/>
          <w:szCs w:val="24"/>
        </w:rPr>
      </w:pPr>
      <w:r w:rsidRPr="00284E6C">
        <w:rPr>
          <w:rFonts w:eastAsia="Times New Roman" w:cs="Times New Roman"/>
          <w:szCs w:val="24"/>
        </w:rPr>
        <w:t xml:space="preserve">The Committee on Nominations and Elections announced the selection of the following </w:t>
      </w:r>
      <w:r w:rsidRPr="00284E6C">
        <w:rPr>
          <w:rFonts w:eastAsia="Times New Roman" w:cs="Times New Roman"/>
          <w:b/>
          <w:szCs w:val="24"/>
        </w:rPr>
        <w:t>candidates for Directors-at-Large</w:t>
      </w:r>
      <w:r w:rsidRPr="00284E6C">
        <w:rPr>
          <w:rFonts w:eastAsia="Times New Roman" w:cs="Times New Roman"/>
          <w:szCs w:val="24"/>
        </w:rPr>
        <w:t xml:space="preserve"> for 201</w:t>
      </w:r>
      <w:r w:rsidR="00286B8C" w:rsidRPr="00284E6C">
        <w:rPr>
          <w:rFonts w:eastAsia="Times New Roman" w:cs="Times New Roman"/>
          <w:szCs w:val="24"/>
        </w:rPr>
        <w:t>6</w:t>
      </w:r>
      <w:r w:rsidRPr="00284E6C">
        <w:rPr>
          <w:rFonts w:eastAsia="Times New Roman" w:cs="Times New Roman"/>
          <w:szCs w:val="24"/>
        </w:rPr>
        <w:t>-201</w:t>
      </w:r>
      <w:r w:rsidR="00286B8C" w:rsidRPr="00284E6C">
        <w:rPr>
          <w:rFonts w:eastAsia="Times New Roman" w:cs="Times New Roman"/>
          <w:szCs w:val="24"/>
        </w:rPr>
        <w:t>8</w:t>
      </w:r>
      <w:r w:rsidRPr="00284E6C">
        <w:rPr>
          <w:rFonts w:eastAsia="Times New Roman" w:cs="Times New Roman"/>
          <w:szCs w:val="24"/>
        </w:rPr>
        <w:t xml:space="preserve"> term</w:t>
      </w:r>
      <w:r w:rsidR="00286B8C" w:rsidRPr="00284E6C">
        <w:rPr>
          <w:rFonts w:eastAsia="Times New Roman" w:cs="Times New Roman"/>
          <w:szCs w:val="24"/>
        </w:rPr>
        <w:t>s</w:t>
      </w:r>
      <w:r w:rsidRPr="00284E6C">
        <w:rPr>
          <w:rFonts w:eastAsia="Times New Roman" w:cs="Times New Roman"/>
          <w:szCs w:val="24"/>
        </w:rPr>
        <w:t>:</w:t>
      </w:r>
      <w:r w:rsidR="00286B8C" w:rsidRPr="00286B8C">
        <w:t xml:space="preserve"> </w:t>
      </w:r>
      <w:r w:rsidR="00286B8C" w:rsidRPr="00284E6C">
        <w:rPr>
          <w:rFonts w:eastAsia="Times New Roman" w:cs="Times New Roman"/>
          <w:b/>
          <w:szCs w:val="24"/>
        </w:rPr>
        <w:t xml:space="preserve">Willem R. Leenstra, Ingrid Montes, Mary Jo Ondrechen, </w:t>
      </w:r>
      <w:r w:rsidR="00286B8C" w:rsidRPr="00284E6C">
        <w:rPr>
          <w:rFonts w:eastAsia="Times New Roman" w:cs="Times New Roman"/>
          <w:szCs w:val="24"/>
        </w:rPr>
        <w:t>and</w:t>
      </w:r>
      <w:r w:rsidR="00286B8C" w:rsidRPr="00284E6C">
        <w:rPr>
          <w:rFonts w:eastAsia="Times New Roman" w:cs="Times New Roman"/>
          <w:b/>
          <w:szCs w:val="24"/>
        </w:rPr>
        <w:t xml:space="preserve"> Thomas W. Smith</w:t>
      </w:r>
      <w:r w:rsidRPr="00284E6C">
        <w:rPr>
          <w:rFonts w:eastAsia="Times New Roman" w:cs="Times New Roman"/>
          <w:b/>
          <w:szCs w:val="24"/>
        </w:rPr>
        <w:t>.</w:t>
      </w:r>
      <w:r w:rsidRPr="00284E6C">
        <w:rPr>
          <w:rFonts w:eastAsia="Times New Roman" w:cs="Times New Roman"/>
          <w:szCs w:val="24"/>
        </w:rPr>
        <w:t xml:space="preserve">  The election of two Directors-at-Large from among those candidates and any selected via petition will be conducted in the fall.  Ballots will be </w:t>
      </w:r>
      <w:r w:rsidR="00284E6C" w:rsidRPr="00284E6C">
        <w:rPr>
          <w:rFonts w:eastAsia="Times New Roman" w:cs="Times New Roman"/>
          <w:szCs w:val="24"/>
        </w:rPr>
        <w:t>distributed</w:t>
      </w:r>
      <w:r w:rsidRPr="00284E6C">
        <w:rPr>
          <w:rFonts w:eastAsia="Times New Roman" w:cs="Times New Roman"/>
          <w:szCs w:val="24"/>
        </w:rPr>
        <w:t xml:space="preserve"> to the Council on October </w:t>
      </w:r>
      <w:r w:rsidR="00D54CCA">
        <w:rPr>
          <w:rFonts w:eastAsia="Times New Roman" w:cs="Times New Roman"/>
          <w:szCs w:val="24"/>
        </w:rPr>
        <w:t>2</w:t>
      </w:r>
      <w:r w:rsidRPr="00284E6C">
        <w:rPr>
          <w:rFonts w:eastAsia="Times New Roman" w:cs="Times New Roman"/>
          <w:szCs w:val="24"/>
        </w:rPr>
        <w:t>, 201</w:t>
      </w:r>
      <w:r w:rsidR="00286B8C" w:rsidRPr="00284E6C">
        <w:rPr>
          <w:rFonts w:eastAsia="Times New Roman" w:cs="Times New Roman"/>
          <w:szCs w:val="24"/>
        </w:rPr>
        <w:t>5</w:t>
      </w:r>
      <w:r w:rsidRPr="00284E6C">
        <w:rPr>
          <w:rFonts w:eastAsia="Times New Roman" w:cs="Times New Roman"/>
          <w:szCs w:val="24"/>
        </w:rPr>
        <w:t xml:space="preserve">. </w:t>
      </w:r>
    </w:p>
    <w:p w:rsidR="007C5FD1" w:rsidRPr="007C5FD1" w:rsidRDefault="007C5FD1" w:rsidP="007C5FD1">
      <w:pPr>
        <w:spacing w:after="0" w:line="240" w:lineRule="auto"/>
        <w:rPr>
          <w:rFonts w:eastAsia="Times New Roman" w:cs="Times New Roman"/>
          <w:b/>
          <w:bCs/>
          <w:szCs w:val="24"/>
        </w:rPr>
      </w:pPr>
    </w:p>
    <w:p w:rsidR="007C5FD1" w:rsidRPr="007C5FD1" w:rsidRDefault="007C5FD1" w:rsidP="007C5FD1">
      <w:pPr>
        <w:spacing w:after="0" w:line="240" w:lineRule="auto"/>
        <w:rPr>
          <w:rFonts w:eastAsia="Times New Roman" w:cs="Times New Roman"/>
          <w:b/>
          <w:bCs/>
          <w:szCs w:val="24"/>
        </w:rPr>
      </w:pPr>
      <w:r w:rsidRPr="007C5FD1">
        <w:rPr>
          <w:rFonts w:eastAsia="Times New Roman" w:cs="Times New Roman"/>
          <w:b/>
          <w:bCs/>
          <w:szCs w:val="24"/>
        </w:rPr>
        <w:t>Committee Continuance</w:t>
      </w:r>
    </w:p>
    <w:p w:rsidR="007C5FD1" w:rsidRPr="00284E6C" w:rsidRDefault="007C5FD1" w:rsidP="00284E6C">
      <w:pPr>
        <w:pStyle w:val="ListParagraph"/>
        <w:numPr>
          <w:ilvl w:val="0"/>
          <w:numId w:val="21"/>
        </w:numPr>
        <w:spacing w:after="0" w:line="240" w:lineRule="auto"/>
        <w:rPr>
          <w:rFonts w:eastAsia="Times New Roman" w:cs="Times New Roman"/>
          <w:bCs/>
          <w:szCs w:val="24"/>
        </w:rPr>
      </w:pPr>
      <w:r w:rsidRPr="00284E6C">
        <w:rPr>
          <w:rFonts w:eastAsia="Times New Roman" w:cs="Times New Roman"/>
          <w:bCs/>
          <w:szCs w:val="24"/>
        </w:rPr>
        <w:t xml:space="preserve">As part of a regular performance review, the Council </w:t>
      </w:r>
      <w:r w:rsidR="00284E6C" w:rsidRPr="00284E6C">
        <w:rPr>
          <w:rFonts w:eastAsia="Times New Roman" w:cs="Times New Roman"/>
          <w:bCs/>
          <w:szCs w:val="24"/>
        </w:rPr>
        <w:t>voted</w:t>
      </w:r>
      <w:r w:rsidRPr="00284E6C">
        <w:rPr>
          <w:rFonts w:eastAsia="Times New Roman" w:cs="Times New Roman"/>
          <w:bCs/>
          <w:szCs w:val="24"/>
        </w:rPr>
        <w:t xml:space="preserve"> unanimously to continue the Committees on </w:t>
      </w:r>
      <w:r w:rsidR="00286B8C" w:rsidRPr="00284E6C">
        <w:rPr>
          <w:rFonts w:eastAsia="Times New Roman" w:cs="Times New Roman"/>
          <w:bCs/>
          <w:szCs w:val="24"/>
        </w:rPr>
        <w:t>Ethics and on Science.</w:t>
      </w:r>
      <w:r w:rsidRPr="00284E6C">
        <w:rPr>
          <w:rFonts w:eastAsia="Times New Roman" w:cs="Times New Roman"/>
          <w:bCs/>
          <w:szCs w:val="24"/>
        </w:rPr>
        <w:t xml:space="preserve">  Continuation of </w:t>
      </w:r>
      <w:r w:rsidR="00286B8C" w:rsidRPr="00284E6C">
        <w:rPr>
          <w:rFonts w:eastAsia="Times New Roman" w:cs="Times New Roman"/>
          <w:bCs/>
          <w:szCs w:val="24"/>
        </w:rPr>
        <w:t>the Committee on Science also</w:t>
      </w:r>
      <w:r w:rsidRPr="00284E6C">
        <w:rPr>
          <w:rFonts w:eastAsia="Times New Roman" w:cs="Times New Roman"/>
          <w:bCs/>
          <w:szCs w:val="24"/>
        </w:rPr>
        <w:t xml:space="preserve"> requires Board concurrence. </w:t>
      </w:r>
    </w:p>
    <w:p w:rsidR="007C5FD1" w:rsidRPr="007C5FD1" w:rsidRDefault="007C5FD1" w:rsidP="007C5FD1">
      <w:pPr>
        <w:tabs>
          <w:tab w:val="num" w:pos="1080"/>
        </w:tabs>
        <w:spacing w:after="0" w:line="240" w:lineRule="auto"/>
        <w:rPr>
          <w:rFonts w:eastAsia="Times New Roman" w:cs="Times New Roman"/>
          <w:b/>
          <w:szCs w:val="24"/>
        </w:rPr>
      </w:pPr>
    </w:p>
    <w:p w:rsidR="007C5FD1" w:rsidRPr="007C5FD1" w:rsidRDefault="007C5FD1" w:rsidP="007C5FD1">
      <w:pPr>
        <w:tabs>
          <w:tab w:val="num" w:pos="1080"/>
        </w:tabs>
        <w:spacing w:after="0" w:line="240" w:lineRule="auto"/>
        <w:rPr>
          <w:rFonts w:eastAsia="Times New Roman" w:cs="Times New Roman"/>
          <w:b/>
          <w:szCs w:val="24"/>
        </w:rPr>
      </w:pPr>
      <w:r w:rsidRPr="007C5FD1">
        <w:rPr>
          <w:rFonts w:eastAsia="Times New Roman" w:cs="Times New Roman"/>
          <w:b/>
          <w:szCs w:val="24"/>
        </w:rPr>
        <w:t>201</w:t>
      </w:r>
      <w:r w:rsidR="00286B8C">
        <w:rPr>
          <w:rFonts w:eastAsia="Times New Roman" w:cs="Times New Roman"/>
          <w:b/>
          <w:szCs w:val="24"/>
        </w:rPr>
        <w:t>6</w:t>
      </w:r>
      <w:r w:rsidRPr="007C5FD1">
        <w:rPr>
          <w:rFonts w:eastAsia="Times New Roman" w:cs="Times New Roman"/>
          <w:b/>
          <w:szCs w:val="24"/>
        </w:rPr>
        <w:t xml:space="preserve"> Member Dues </w:t>
      </w:r>
    </w:p>
    <w:p w:rsidR="007C5FD1" w:rsidRPr="00284E6C" w:rsidRDefault="007C5FD1" w:rsidP="00284E6C">
      <w:pPr>
        <w:pStyle w:val="ListParagraph"/>
        <w:numPr>
          <w:ilvl w:val="0"/>
          <w:numId w:val="21"/>
        </w:numPr>
        <w:spacing w:after="0" w:line="240" w:lineRule="auto"/>
        <w:rPr>
          <w:rFonts w:eastAsia="Times New Roman" w:cs="Times New Roman"/>
          <w:b/>
          <w:szCs w:val="24"/>
        </w:rPr>
      </w:pPr>
      <w:r w:rsidRPr="00284E6C">
        <w:rPr>
          <w:rFonts w:eastAsia="Times New Roman" w:cs="Times New Roman"/>
          <w:szCs w:val="24"/>
        </w:rPr>
        <w:t>The Council voted to set the member dues for 201</w:t>
      </w:r>
      <w:r w:rsidR="00284E6C" w:rsidRPr="00284E6C">
        <w:rPr>
          <w:rFonts w:eastAsia="Times New Roman" w:cs="Times New Roman"/>
          <w:szCs w:val="24"/>
        </w:rPr>
        <w:t>6</w:t>
      </w:r>
      <w:r w:rsidRPr="00284E6C">
        <w:rPr>
          <w:rFonts w:eastAsia="Times New Roman" w:cs="Times New Roman"/>
          <w:szCs w:val="24"/>
        </w:rPr>
        <w:t xml:space="preserve"> at the fully escalated rate of </w:t>
      </w:r>
      <w:r w:rsidR="00284E6C" w:rsidRPr="00284E6C">
        <w:rPr>
          <w:rFonts w:eastAsia="Times New Roman" w:cs="Times New Roman"/>
          <w:szCs w:val="24"/>
        </w:rPr>
        <w:t>$162</w:t>
      </w:r>
      <w:r w:rsidRPr="00284E6C">
        <w:rPr>
          <w:rFonts w:eastAsia="Times New Roman" w:cs="Times New Roman"/>
          <w:szCs w:val="24"/>
        </w:rPr>
        <w:t>. This rate is established pursuant to an inflation-adjustment formula in the ACS Constitution and Bylaws.</w:t>
      </w:r>
    </w:p>
    <w:p w:rsidR="007C5FD1" w:rsidRDefault="007C5FD1" w:rsidP="007C5FD1">
      <w:pPr>
        <w:spacing w:after="0" w:line="240" w:lineRule="auto"/>
        <w:rPr>
          <w:rFonts w:eastAsia="Times New Roman" w:cs="Times New Roman"/>
          <w:b/>
          <w:szCs w:val="24"/>
        </w:rPr>
      </w:pPr>
    </w:p>
    <w:p w:rsidR="000A1EF6" w:rsidRPr="00C911D5" w:rsidRDefault="00C911D5" w:rsidP="007C5FD1">
      <w:pPr>
        <w:spacing w:after="0" w:line="240" w:lineRule="auto"/>
        <w:rPr>
          <w:rFonts w:eastAsia="Times New Roman" w:cs="Times New Roman"/>
          <w:b/>
          <w:szCs w:val="24"/>
        </w:rPr>
      </w:pPr>
      <w:r w:rsidRPr="00C911D5">
        <w:rPr>
          <w:b/>
          <w:iCs/>
        </w:rPr>
        <w:t>National Meeting Long-Range Financial Plan</w:t>
      </w:r>
    </w:p>
    <w:p w:rsidR="000A1EF6" w:rsidRDefault="0073561C" w:rsidP="000A1EF6">
      <w:pPr>
        <w:pStyle w:val="ListParagraph"/>
        <w:numPr>
          <w:ilvl w:val="0"/>
          <w:numId w:val="24"/>
        </w:numPr>
        <w:spacing w:after="0" w:line="240" w:lineRule="auto"/>
        <w:rPr>
          <w:rFonts w:eastAsia="Times New Roman" w:cs="Times New Roman"/>
          <w:szCs w:val="24"/>
        </w:rPr>
      </w:pPr>
      <w:r>
        <w:rPr>
          <w:rFonts w:eastAsia="Times New Roman" w:cs="Times New Roman"/>
          <w:szCs w:val="24"/>
        </w:rPr>
        <w:t>Following a discussion on the revenue supporting National Meetings, t</w:t>
      </w:r>
      <w:r w:rsidR="000A1EF6" w:rsidRPr="000A1EF6">
        <w:rPr>
          <w:rFonts w:eastAsia="Times New Roman" w:cs="Times New Roman"/>
          <w:szCs w:val="24"/>
        </w:rPr>
        <w:t>he ACS Council respectfully request</w:t>
      </w:r>
      <w:r w:rsidR="00C911D5">
        <w:rPr>
          <w:rFonts w:eastAsia="Times New Roman" w:cs="Times New Roman"/>
          <w:szCs w:val="24"/>
        </w:rPr>
        <w:t>ed</w:t>
      </w:r>
      <w:r w:rsidR="000A1EF6" w:rsidRPr="000A1EF6">
        <w:rPr>
          <w:rFonts w:eastAsia="Times New Roman" w:cs="Times New Roman"/>
          <w:szCs w:val="24"/>
        </w:rPr>
        <w:t xml:space="preserve"> that the Board of Directors delay the implementation of the </w:t>
      </w:r>
      <w:r>
        <w:rPr>
          <w:rFonts w:eastAsia="Times New Roman" w:cs="Times New Roman"/>
          <w:szCs w:val="24"/>
        </w:rPr>
        <w:t>t</w:t>
      </w:r>
      <w:r w:rsidR="000A1EF6" w:rsidRPr="000A1EF6">
        <w:rPr>
          <w:rFonts w:eastAsia="Times New Roman" w:cs="Times New Roman"/>
          <w:szCs w:val="24"/>
        </w:rPr>
        <w:t xml:space="preserve">echnical </w:t>
      </w:r>
      <w:r>
        <w:rPr>
          <w:rFonts w:eastAsia="Times New Roman" w:cs="Times New Roman"/>
          <w:szCs w:val="24"/>
        </w:rPr>
        <w:t>m</w:t>
      </w:r>
      <w:r w:rsidR="000A1EF6" w:rsidRPr="000A1EF6">
        <w:rPr>
          <w:rFonts w:eastAsia="Times New Roman" w:cs="Times New Roman"/>
          <w:szCs w:val="24"/>
        </w:rPr>
        <w:t xml:space="preserve">eeting </w:t>
      </w:r>
      <w:r w:rsidR="00C911D5">
        <w:rPr>
          <w:rFonts w:eastAsia="Times New Roman" w:cs="Times New Roman"/>
          <w:szCs w:val="24"/>
        </w:rPr>
        <w:t>additional fee to the meeting registration</w:t>
      </w:r>
      <w:r w:rsidR="003264A7">
        <w:rPr>
          <w:rFonts w:eastAsia="Times New Roman" w:cs="Times New Roman"/>
          <w:szCs w:val="24"/>
        </w:rPr>
        <w:t xml:space="preserve"> fee,</w:t>
      </w:r>
      <w:r w:rsidR="00C911D5">
        <w:rPr>
          <w:rFonts w:eastAsia="Times New Roman" w:cs="Times New Roman"/>
          <w:szCs w:val="24"/>
        </w:rPr>
        <w:t xml:space="preserve"> </w:t>
      </w:r>
      <w:r w:rsidR="000A1EF6" w:rsidRPr="000A1EF6">
        <w:rPr>
          <w:rFonts w:eastAsia="Times New Roman" w:cs="Times New Roman"/>
          <w:szCs w:val="24"/>
        </w:rPr>
        <w:t xml:space="preserve">until </w:t>
      </w:r>
      <w:r>
        <w:rPr>
          <w:rFonts w:eastAsia="Times New Roman" w:cs="Times New Roman"/>
          <w:szCs w:val="24"/>
        </w:rPr>
        <w:t>the Board</w:t>
      </w:r>
      <w:r w:rsidR="000A1EF6" w:rsidRPr="000A1EF6">
        <w:rPr>
          <w:rFonts w:eastAsia="Times New Roman" w:cs="Times New Roman"/>
          <w:szCs w:val="24"/>
        </w:rPr>
        <w:t xml:space="preserve"> </w:t>
      </w:r>
      <w:r w:rsidR="00C911D5">
        <w:rPr>
          <w:rFonts w:eastAsia="Times New Roman" w:cs="Times New Roman"/>
          <w:szCs w:val="24"/>
        </w:rPr>
        <w:t xml:space="preserve">presents an </w:t>
      </w:r>
      <w:r w:rsidR="000A1EF6" w:rsidRPr="000A1EF6">
        <w:rPr>
          <w:rFonts w:eastAsia="Times New Roman" w:cs="Times New Roman"/>
          <w:szCs w:val="24"/>
        </w:rPr>
        <w:t>analysis</w:t>
      </w:r>
      <w:r w:rsidR="003264A7">
        <w:rPr>
          <w:rFonts w:eastAsia="Times New Roman" w:cs="Times New Roman"/>
          <w:szCs w:val="24"/>
        </w:rPr>
        <w:t xml:space="preserve"> (</w:t>
      </w:r>
      <w:r w:rsidR="000A1EF6" w:rsidRPr="000A1EF6">
        <w:rPr>
          <w:rFonts w:eastAsia="Times New Roman" w:cs="Times New Roman"/>
          <w:szCs w:val="24"/>
        </w:rPr>
        <w:t xml:space="preserve">preferably at the Boston </w:t>
      </w:r>
      <w:r w:rsidR="00C911D5">
        <w:rPr>
          <w:rFonts w:eastAsia="Times New Roman" w:cs="Times New Roman"/>
          <w:szCs w:val="24"/>
        </w:rPr>
        <w:t>national meeting</w:t>
      </w:r>
      <w:r w:rsidR="003264A7">
        <w:rPr>
          <w:rFonts w:eastAsia="Times New Roman" w:cs="Times New Roman"/>
          <w:szCs w:val="24"/>
        </w:rPr>
        <w:t xml:space="preserve">) </w:t>
      </w:r>
      <w:r w:rsidR="000A1EF6" w:rsidRPr="000A1EF6">
        <w:rPr>
          <w:rFonts w:eastAsia="Times New Roman" w:cs="Times New Roman"/>
          <w:szCs w:val="24"/>
        </w:rPr>
        <w:t>of the projected break even fee</w:t>
      </w:r>
      <w:r>
        <w:rPr>
          <w:rFonts w:eastAsia="Times New Roman" w:cs="Times New Roman"/>
          <w:szCs w:val="24"/>
        </w:rPr>
        <w:t>,</w:t>
      </w:r>
      <w:r w:rsidR="000A1EF6" w:rsidRPr="000A1EF6">
        <w:rPr>
          <w:rFonts w:eastAsia="Times New Roman" w:cs="Times New Roman"/>
          <w:szCs w:val="24"/>
        </w:rPr>
        <w:t xml:space="preserve"> including and</w:t>
      </w:r>
      <w:r w:rsidR="00C911D5">
        <w:rPr>
          <w:rFonts w:eastAsia="Times New Roman" w:cs="Times New Roman"/>
          <w:szCs w:val="24"/>
        </w:rPr>
        <w:t xml:space="preserve"> </w:t>
      </w:r>
      <w:r w:rsidR="000A1EF6" w:rsidRPr="000A1EF6">
        <w:rPr>
          <w:rFonts w:eastAsia="Times New Roman" w:cs="Times New Roman"/>
          <w:szCs w:val="24"/>
        </w:rPr>
        <w:t xml:space="preserve">excluding the net revenue from the </w:t>
      </w:r>
      <w:r w:rsidR="00C911D5">
        <w:rPr>
          <w:rFonts w:eastAsia="Times New Roman" w:cs="Times New Roman"/>
          <w:szCs w:val="24"/>
        </w:rPr>
        <w:t xml:space="preserve">National Meeting </w:t>
      </w:r>
      <w:r w:rsidR="000A1EF6" w:rsidRPr="000A1EF6">
        <w:rPr>
          <w:rFonts w:eastAsia="Times New Roman" w:cs="Times New Roman"/>
          <w:szCs w:val="24"/>
        </w:rPr>
        <w:t>Exposition</w:t>
      </w:r>
      <w:r w:rsidR="00C911D5">
        <w:rPr>
          <w:rFonts w:eastAsia="Times New Roman" w:cs="Times New Roman"/>
          <w:szCs w:val="24"/>
        </w:rPr>
        <w:t>.</w:t>
      </w:r>
    </w:p>
    <w:p w:rsidR="00D65572" w:rsidRPr="00D65572" w:rsidRDefault="00D65572" w:rsidP="00D65572">
      <w:pPr>
        <w:spacing w:after="0" w:line="240" w:lineRule="auto"/>
        <w:rPr>
          <w:rFonts w:eastAsia="Times New Roman" w:cs="Times New Roman"/>
          <w:szCs w:val="24"/>
        </w:rPr>
      </w:pPr>
    </w:p>
    <w:p w:rsidR="007C5FD1" w:rsidRPr="007C5FD1" w:rsidRDefault="007C5FD1" w:rsidP="007C5FD1">
      <w:pPr>
        <w:spacing w:after="0" w:line="240" w:lineRule="auto"/>
        <w:rPr>
          <w:rFonts w:eastAsia="Times New Roman" w:cs="Times New Roman"/>
          <w:b/>
          <w:szCs w:val="24"/>
        </w:rPr>
      </w:pPr>
      <w:r w:rsidRPr="007C5FD1">
        <w:rPr>
          <w:rFonts w:eastAsia="Times New Roman" w:cs="Times New Roman"/>
          <w:b/>
          <w:szCs w:val="24"/>
        </w:rPr>
        <w:t>New International Chemical Sciences Chapter</w:t>
      </w:r>
      <w:r w:rsidR="008F718F">
        <w:rPr>
          <w:rFonts w:eastAsia="Times New Roman" w:cs="Times New Roman"/>
          <w:b/>
          <w:szCs w:val="24"/>
        </w:rPr>
        <w:t>s</w:t>
      </w:r>
      <w:r w:rsidRPr="007C5FD1">
        <w:rPr>
          <w:rFonts w:eastAsia="Times New Roman" w:cs="Times New Roman"/>
          <w:b/>
          <w:szCs w:val="24"/>
        </w:rPr>
        <w:t xml:space="preserve"> </w:t>
      </w:r>
    </w:p>
    <w:p w:rsidR="007C5FD1" w:rsidRPr="00284E6C" w:rsidRDefault="007C5FD1" w:rsidP="00284E6C">
      <w:pPr>
        <w:pStyle w:val="ListParagraph"/>
        <w:numPr>
          <w:ilvl w:val="0"/>
          <w:numId w:val="21"/>
        </w:numPr>
        <w:spacing w:after="0" w:line="240" w:lineRule="auto"/>
        <w:rPr>
          <w:rFonts w:eastAsia="Times New Roman" w:cs="Times New Roman"/>
          <w:szCs w:val="24"/>
        </w:rPr>
      </w:pPr>
      <w:r w:rsidRPr="00284E6C">
        <w:rPr>
          <w:rFonts w:eastAsia="Times New Roman" w:cs="Times New Roman"/>
          <w:szCs w:val="24"/>
        </w:rPr>
        <w:t xml:space="preserve">On recommendation of the Committee on International Activities and subject to the concurrence of the Board of Directors, the Council voted to approve petitions to charter the </w:t>
      </w:r>
      <w:r w:rsidR="00284E6C" w:rsidRPr="00284E6C">
        <w:rPr>
          <w:rFonts w:eastAsia="Times New Roman" w:cs="Times New Roman"/>
          <w:szCs w:val="24"/>
        </w:rPr>
        <w:t>India</w:t>
      </w:r>
      <w:r w:rsidRPr="00284E6C">
        <w:rPr>
          <w:rFonts w:eastAsia="Times New Roman" w:cs="Times New Roman"/>
          <w:szCs w:val="24"/>
        </w:rPr>
        <w:t xml:space="preserve"> </w:t>
      </w:r>
      <w:r w:rsidRPr="00284E6C">
        <w:rPr>
          <w:rFonts w:eastAsia="Times New Roman" w:cs="Times New Roman"/>
          <w:szCs w:val="24"/>
        </w:rPr>
        <w:lastRenderedPageBreak/>
        <w:t xml:space="preserve">International Chemical Sciences Chapter and the </w:t>
      </w:r>
      <w:r w:rsidR="00284E6C" w:rsidRPr="00284E6C">
        <w:rPr>
          <w:rFonts w:eastAsia="Times New Roman" w:cs="Times New Roman"/>
          <w:szCs w:val="24"/>
        </w:rPr>
        <w:t>Taiwan</w:t>
      </w:r>
      <w:r w:rsidRPr="00284E6C">
        <w:rPr>
          <w:rFonts w:eastAsia="Times New Roman" w:cs="Times New Roman"/>
          <w:szCs w:val="24"/>
        </w:rPr>
        <w:t xml:space="preserve"> International Chemical Sciences Chapter.</w:t>
      </w:r>
    </w:p>
    <w:p w:rsidR="007C5FD1" w:rsidRPr="007C5FD1" w:rsidRDefault="007C5FD1" w:rsidP="007C5FD1">
      <w:pPr>
        <w:spacing w:after="0" w:line="240" w:lineRule="auto"/>
        <w:rPr>
          <w:rFonts w:ascii="Times New Roman" w:eastAsia="Times New Roman" w:hAnsi="Times New Roman" w:cs="Times New Roman"/>
          <w:b/>
          <w:sz w:val="24"/>
          <w:szCs w:val="24"/>
        </w:rPr>
      </w:pPr>
    </w:p>
    <w:p w:rsidR="00692031" w:rsidRPr="00692031" w:rsidRDefault="004F680B" w:rsidP="00692031">
      <w:pPr>
        <w:rPr>
          <w:sz w:val="24"/>
          <w:u w:val="single"/>
        </w:rPr>
      </w:pPr>
      <w:r>
        <w:rPr>
          <w:sz w:val="24"/>
          <w:u w:val="single"/>
        </w:rPr>
        <w:t xml:space="preserve">Selected </w:t>
      </w:r>
      <w:r w:rsidR="00692031" w:rsidRPr="00692031">
        <w:rPr>
          <w:sz w:val="24"/>
          <w:u w:val="single"/>
        </w:rPr>
        <w:t>Committee</w:t>
      </w:r>
      <w:r>
        <w:rPr>
          <w:sz w:val="24"/>
          <w:u w:val="single"/>
        </w:rPr>
        <w:t xml:space="preserve"> Report</w:t>
      </w:r>
      <w:r w:rsidR="00692031" w:rsidRPr="00692031">
        <w:rPr>
          <w:sz w:val="24"/>
          <w:u w:val="single"/>
        </w:rPr>
        <w:t>s</w:t>
      </w:r>
      <w:r w:rsidR="00041DB1">
        <w:rPr>
          <w:sz w:val="24"/>
          <w:u w:val="single"/>
        </w:rPr>
        <w:t xml:space="preserve"> (Highlights)</w:t>
      </w:r>
    </w:p>
    <w:p w:rsidR="00D54CCA" w:rsidRDefault="00D54CCA" w:rsidP="00D54CCA">
      <w:pPr>
        <w:rPr>
          <w:b/>
          <w:i/>
        </w:rPr>
      </w:pPr>
      <w:r w:rsidRPr="00692031">
        <w:rPr>
          <w:b/>
          <w:i/>
        </w:rPr>
        <w:t>Council Policy (CPC)</w:t>
      </w:r>
    </w:p>
    <w:p w:rsidR="000E1944" w:rsidRDefault="000E1944" w:rsidP="00D54CCA">
      <w:r>
        <w:t xml:space="preserve">As required by the Society’s Bylaws, CPC has set the divisors </w:t>
      </w:r>
      <w:r w:rsidR="00D65572">
        <w:t xml:space="preserve">which will be used to determine how many Councilors each Local Section and Division is entitled for 2016-2019. </w:t>
      </w:r>
      <w:r>
        <w:t xml:space="preserve"> Official notification will be sent to Local Sections and Divisions within two weeks of the Council meeting, well in advance of the Bylaws required May 1 deadline, in order to accommodate the units’ conduct of their elections in 2015. CPC’s Long Range Planning Subcommittee is forming a task force to consider whether changes are in order for the calculations and policies, and to implement any recommendations in time for the 2020 election cycle.</w:t>
      </w:r>
    </w:p>
    <w:p w:rsidR="00692031" w:rsidRDefault="00692031" w:rsidP="00692031">
      <w:pPr>
        <w:rPr>
          <w:b/>
          <w:i/>
          <w:iCs/>
        </w:rPr>
      </w:pPr>
      <w:r w:rsidRPr="00692031">
        <w:rPr>
          <w:b/>
          <w:i/>
          <w:iCs/>
        </w:rPr>
        <w:t>Budget and Finance (B&amp;F)</w:t>
      </w:r>
    </w:p>
    <w:p w:rsidR="003A591F" w:rsidRDefault="003A591F" w:rsidP="00692031">
      <w:pPr>
        <w:rPr>
          <w:iCs/>
        </w:rPr>
      </w:pPr>
      <w:r>
        <w:rPr>
          <w:iCs/>
        </w:rPr>
        <w:t xml:space="preserve">In 2014, ACS generated a Net from Operations of $17.9 million, which was $4.2 million favorable to budget. </w:t>
      </w:r>
      <w:r w:rsidR="006E0987">
        <w:rPr>
          <w:iCs/>
        </w:rPr>
        <w:t xml:space="preserve">Total </w:t>
      </w:r>
      <w:r w:rsidR="00BB388B">
        <w:rPr>
          <w:iCs/>
        </w:rPr>
        <w:t>revenues</w:t>
      </w:r>
      <w:bookmarkStart w:id="0" w:name="_GoBack"/>
      <w:bookmarkEnd w:id="0"/>
      <w:r w:rsidR="006E0987">
        <w:rPr>
          <w:iCs/>
        </w:rPr>
        <w:t xml:space="preserve"> were $499.0 million, $0.7</w:t>
      </w:r>
      <w:r w:rsidR="00C911D5">
        <w:rPr>
          <w:iCs/>
        </w:rPr>
        <w:t xml:space="preserve"> million</w:t>
      </w:r>
      <w:r w:rsidR="006E0987">
        <w:rPr>
          <w:iCs/>
        </w:rPr>
        <w:t xml:space="preserve"> or 0.1 percent higher than budget. Expenses ended the year at $481.1 million, $3.5 million favorable to the budget.  This variance was largely attributable to a continued emphasis on expense management across the Society.  Despite favorable operating results, the Society’s financial position weakened in 2014, with Unrestricted Net Assets declining $62.3 million, to $144.7 million at year-end. </w:t>
      </w:r>
    </w:p>
    <w:p w:rsidR="006E0987" w:rsidRPr="003A591F" w:rsidRDefault="006E0987" w:rsidP="00692031">
      <w:pPr>
        <w:rPr>
          <w:iCs/>
        </w:rPr>
      </w:pPr>
      <w:r>
        <w:rPr>
          <w:iCs/>
        </w:rPr>
        <w:t xml:space="preserve">Additional information can be found at </w:t>
      </w:r>
      <w:hyperlink r:id="rId9" w:history="1">
        <w:r w:rsidRPr="001A1CF2">
          <w:rPr>
            <w:rStyle w:val="Hyperlink"/>
            <w:iCs/>
          </w:rPr>
          <w:t>www.acs.org</w:t>
        </w:r>
      </w:hyperlink>
      <w:r>
        <w:rPr>
          <w:iCs/>
        </w:rPr>
        <w:t>, at bottom, click ‘About ACS’</w:t>
      </w:r>
      <w:r w:rsidR="00C545EA">
        <w:rPr>
          <w:iCs/>
        </w:rPr>
        <w:t xml:space="preserve">, </w:t>
      </w:r>
      <w:r w:rsidR="00BA0598">
        <w:rPr>
          <w:iCs/>
        </w:rPr>
        <w:t>then ‘ACS Financial Information’</w:t>
      </w:r>
      <w:r w:rsidR="00C545EA">
        <w:rPr>
          <w:iCs/>
        </w:rPr>
        <w:t>.  There you will find several years of the Society’s audited financial statements and IRS 990 filings.</w:t>
      </w:r>
    </w:p>
    <w:p w:rsidR="00692031" w:rsidRDefault="00692031" w:rsidP="00692031">
      <w:pPr>
        <w:rPr>
          <w:b/>
          <w:i/>
          <w:iCs/>
        </w:rPr>
      </w:pPr>
      <w:r w:rsidRPr="00692031">
        <w:rPr>
          <w:b/>
          <w:i/>
          <w:iCs/>
        </w:rPr>
        <w:t>Education (SOCED)</w:t>
      </w:r>
    </w:p>
    <w:p w:rsidR="003A591F" w:rsidRPr="00D50237" w:rsidRDefault="00D50237" w:rsidP="00692031">
      <w:pPr>
        <w:rPr>
          <w:iCs/>
        </w:rPr>
      </w:pPr>
      <w:r>
        <w:rPr>
          <w:iCs/>
        </w:rPr>
        <w:t xml:space="preserve">SOCED reported that more than 1,900 individuals have joined </w:t>
      </w:r>
      <w:r w:rsidR="007A32DF">
        <w:rPr>
          <w:iCs/>
        </w:rPr>
        <w:t xml:space="preserve">the </w:t>
      </w:r>
      <w:hyperlink r:id="rId10" w:history="1">
        <w:r w:rsidR="00FC38B3" w:rsidRPr="00FB3612">
          <w:rPr>
            <w:rStyle w:val="Hyperlink"/>
          </w:rPr>
          <w:t>American Association of Chemistry Teachers (AACT)</w:t>
        </w:r>
      </w:hyperlink>
      <w:r>
        <w:rPr>
          <w:iCs/>
        </w:rPr>
        <w:t xml:space="preserve"> which launched last year, 88 percent of whom are K-12 teachers of chemistry. The Dow Chemical Company was announced as the Sole Founding Partner of AACT with a gift of $1 million. </w:t>
      </w:r>
    </w:p>
    <w:p w:rsidR="00692031" w:rsidRDefault="00692031" w:rsidP="00692031">
      <w:pPr>
        <w:rPr>
          <w:b/>
          <w:i/>
          <w:iCs/>
        </w:rPr>
      </w:pPr>
      <w:r w:rsidRPr="00692031">
        <w:rPr>
          <w:b/>
          <w:i/>
          <w:iCs/>
        </w:rPr>
        <w:t>Science (ComSci)</w:t>
      </w:r>
    </w:p>
    <w:p w:rsidR="00D50237" w:rsidRPr="00D50237" w:rsidRDefault="00D50237" w:rsidP="00692031">
      <w:pPr>
        <w:rPr>
          <w:iCs/>
        </w:rPr>
      </w:pPr>
      <w:r>
        <w:rPr>
          <w:iCs/>
        </w:rPr>
        <w:t xml:space="preserve">ComSci has collaborated with several ACS committees to develop five public policy statements which were approved by the Board in December 2014.  More recently ComSci led the development of a new </w:t>
      </w:r>
      <w:r w:rsidR="00C911D5">
        <w:rPr>
          <w:iCs/>
        </w:rPr>
        <w:t xml:space="preserve">draft </w:t>
      </w:r>
      <w:r>
        <w:rPr>
          <w:iCs/>
        </w:rPr>
        <w:t xml:space="preserve">ACS policy statement on hydraulic fracturing, </w:t>
      </w:r>
      <w:r w:rsidR="00C911D5">
        <w:rPr>
          <w:iCs/>
        </w:rPr>
        <w:t xml:space="preserve">which will be considered </w:t>
      </w:r>
      <w:r>
        <w:rPr>
          <w:iCs/>
        </w:rPr>
        <w:t xml:space="preserve">by the Board. Current collaborations include revising ACS policy statements on energy, </w:t>
      </w:r>
      <w:r w:rsidR="001D4E09">
        <w:rPr>
          <w:iCs/>
        </w:rPr>
        <w:t>climate change and forensic science.</w:t>
      </w:r>
    </w:p>
    <w:p w:rsidR="00692031" w:rsidRDefault="00692031" w:rsidP="00692031">
      <w:pPr>
        <w:rPr>
          <w:b/>
          <w:i/>
          <w:iCs/>
        </w:rPr>
      </w:pPr>
      <w:r w:rsidRPr="00692031">
        <w:rPr>
          <w:b/>
          <w:i/>
          <w:iCs/>
        </w:rPr>
        <w:t>Committee on Meetings and Expositions (M&amp;E)</w:t>
      </w:r>
    </w:p>
    <w:p w:rsidR="00C545EA" w:rsidRDefault="00FC38B3" w:rsidP="00692031">
      <w:pPr>
        <w:rPr>
          <w:iCs/>
        </w:rPr>
      </w:pPr>
      <w:r>
        <w:rPr>
          <w:iCs/>
        </w:rPr>
        <w:lastRenderedPageBreak/>
        <w:t>M&amp;E recommends that the Early Member Registration Fee for 2016 national meetings be $415, per the National Meeting Long-Range Financial Plan.</w:t>
      </w:r>
    </w:p>
    <w:p w:rsidR="00FC38B3" w:rsidRDefault="00FC38B3" w:rsidP="00692031">
      <w:pPr>
        <w:rPr>
          <w:iCs/>
        </w:rPr>
      </w:pPr>
      <w:r>
        <w:rPr>
          <w:iCs/>
        </w:rPr>
        <w:t xml:space="preserve">As part of the continuing ACS sustainability effort and to encourage the use of the ACS mobile app and online program, M&amp;E has decided to discontinue free distribution of the hard copy program book starting in 2016. </w:t>
      </w:r>
      <w:r w:rsidR="000A4B91">
        <w:rPr>
          <w:iCs/>
        </w:rPr>
        <w:t xml:space="preserve"> Those who pre-register for the meeting may purchase a copy of the </w:t>
      </w:r>
      <w:r>
        <w:rPr>
          <w:iCs/>
        </w:rPr>
        <w:t>program book</w:t>
      </w:r>
      <w:r w:rsidR="000A4B91">
        <w:rPr>
          <w:iCs/>
        </w:rPr>
        <w:t xml:space="preserve"> for $10 (pick up on site), and copies will be available at the meeting for $20. </w:t>
      </w:r>
      <w:r>
        <w:rPr>
          <w:iCs/>
        </w:rPr>
        <w:t xml:space="preserve"> The PDF version of the national meeting program will be more prominently displayed on the ACS website for those who would like to print portions for themselves.</w:t>
      </w:r>
    </w:p>
    <w:p w:rsidR="00692031" w:rsidRDefault="00041DB1" w:rsidP="00692031">
      <w:pPr>
        <w:rPr>
          <w:b/>
          <w:i/>
          <w:iCs/>
        </w:rPr>
      </w:pPr>
      <w:r>
        <w:rPr>
          <w:b/>
          <w:i/>
          <w:iCs/>
        </w:rPr>
        <w:t xml:space="preserve">Committee on </w:t>
      </w:r>
      <w:r w:rsidR="00692031" w:rsidRPr="00692031">
        <w:rPr>
          <w:b/>
          <w:i/>
          <w:iCs/>
        </w:rPr>
        <w:t>Divisional Activities (DAC)</w:t>
      </w:r>
    </w:p>
    <w:p w:rsidR="00264CF2" w:rsidRDefault="00264CF2" w:rsidP="00692031">
      <w:pPr>
        <w:rPr>
          <w:iCs/>
        </w:rPr>
      </w:pPr>
      <w:r>
        <w:rPr>
          <w:iCs/>
        </w:rPr>
        <w:t>DAC voted to fund ten Innovative Project Grants (IPG) totaling $54,000. The committee will consider another set of IPG proposals during the Boston National Meeting in August, 2015; the deadline for that round of submissions in July 1, 2015.</w:t>
      </w:r>
    </w:p>
    <w:p w:rsidR="00264CF2" w:rsidRPr="00264CF2" w:rsidRDefault="00264CF2" w:rsidP="00692031">
      <w:pPr>
        <w:rPr>
          <w:iCs/>
        </w:rPr>
      </w:pPr>
      <w:r>
        <w:rPr>
          <w:iCs/>
        </w:rPr>
        <w:t>National meeting attendees were recently surveyed for their views on the Society’s policy governing the use of devices to capture and/or disseminate content delivered at our meetings. While expressing support for the policy, the respondents also expressed interest in amending the current policy to permit presenters – at their discretion – to authorize audience members to capture and disseminate content.</w:t>
      </w:r>
    </w:p>
    <w:p w:rsidR="00692031" w:rsidRDefault="00692031" w:rsidP="000A0134">
      <w:pPr>
        <w:rPr>
          <w:b/>
          <w:i/>
          <w:iCs/>
        </w:rPr>
      </w:pPr>
      <w:r w:rsidRPr="00692031">
        <w:rPr>
          <w:b/>
          <w:i/>
          <w:iCs/>
        </w:rPr>
        <w:t>Committee on Local Section Activities (LSAC)</w:t>
      </w:r>
    </w:p>
    <w:p w:rsidR="00264CF2" w:rsidRDefault="007943AD" w:rsidP="000A0134">
      <w:pPr>
        <w:rPr>
          <w:iCs/>
        </w:rPr>
      </w:pPr>
      <w:r>
        <w:rPr>
          <w:iCs/>
        </w:rPr>
        <w:t xml:space="preserve">LSAC awarded 15 Innovative Project Grants for a total of $38,389, and is continuing to offer a mini-grant to </w:t>
      </w:r>
      <w:r w:rsidR="000D33D0">
        <w:rPr>
          <w:iCs/>
        </w:rPr>
        <w:t xml:space="preserve">Local Sections that </w:t>
      </w:r>
      <w:r>
        <w:rPr>
          <w:iCs/>
        </w:rPr>
        <w:t>attended the 2015 Leadership Institute to partner with neighboring sections to host an activity that would bring value to all members in a specific region. The committee is also planning to fund 16 grants totaling $4000 for the Bridging the Gap: Teachers of Chemistry K-12 Nano-Grant</w:t>
      </w:r>
      <w:r w:rsidR="00646DCC">
        <w:rPr>
          <w:iCs/>
        </w:rPr>
        <w:t>s</w:t>
      </w:r>
      <w:r>
        <w:rPr>
          <w:iCs/>
        </w:rPr>
        <w:t xml:space="preserve">.  More information about all LSAC grants, and those of other committees, is available at </w:t>
      </w:r>
      <w:hyperlink r:id="rId11" w:history="1">
        <w:r w:rsidRPr="001A1CF2">
          <w:rPr>
            <w:rStyle w:val="Hyperlink"/>
            <w:iCs/>
          </w:rPr>
          <w:t>www.acs.org/getinvolved</w:t>
        </w:r>
      </w:hyperlink>
      <w:r>
        <w:rPr>
          <w:iCs/>
        </w:rPr>
        <w:t>.</w:t>
      </w:r>
    </w:p>
    <w:p w:rsidR="00692031" w:rsidRDefault="00041DB1" w:rsidP="00692031">
      <w:pPr>
        <w:rPr>
          <w:b/>
          <w:i/>
          <w:iCs/>
        </w:rPr>
      </w:pPr>
      <w:r>
        <w:rPr>
          <w:b/>
          <w:i/>
          <w:iCs/>
        </w:rPr>
        <w:t xml:space="preserve">Committee on </w:t>
      </w:r>
      <w:r w:rsidR="00692031" w:rsidRPr="00692031">
        <w:rPr>
          <w:b/>
          <w:i/>
          <w:iCs/>
        </w:rPr>
        <w:t>Membership Affairs (MAC)</w:t>
      </w:r>
    </w:p>
    <w:p w:rsidR="003D5B66" w:rsidRDefault="001C6A82" w:rsidP="00692031">
      <w:pPr>
        <w:rPr>
          <w:iCs/>
        </w:rPr>
      </w:pPr>
      <w:r>
        <w:rPr>
          <w:iCs/>
        </w:rPr>
        <w:t xml:space="preserve">MAC approved a recommendation from staff to ask individuals who have </w:t>
      </w:r>
      <w:r w:rsidR="00F84B6F">
        <w:rPr>
          <w:iCs/>
        </w:rPr>
        <w:t xml:space="preserve">been </w:t>
      </w:r>
      <w:r>
        <w:rPr>
          <w:iCs/>
        </w:rPr>
        <w:t xml:space="preserve">receiving the 50 percent </w:t>
      </w:r>
      <w:r w:rsidR="00F84B6F">
        <w:rPr>
          <w:iCs/>
        </w:rPr>
        <w:t>G</w:t>
      </w:r>
      <w:r>
        <w:rPr>
          <w:iCs/>
        </w:rPr>
        <w:t>raduate Student Discount for four years or more if they are still graduate students so they can receive the correct dues renewal. The current process does not provide an opportunity for graduate students to change their status after graduation except by contacting ACS Member Services.</w:t>
      </w:r>
    </w:p>
    <w:p w:rsidR="001C6A82" w:rsidRPr="001C6A82" w:rsidRDefault="001C6A82" w:rsidP="00692031">
      <w:pPr>
        <w:rPr>
          <w:iCs/>
        </w:rPr>
      </w:pPr>
      <w:r>
        <w:rPr>
          <w:iCs/>
        </w:rPr>
        <w:t>MAC has endorsed President Diane Schmidt’s campaign to invite faculty from PhD granting U.S. institutions to give ACS membership as an award to outstanding students in chemistry. Schmidt will match each gift by paying a student’s membership from her Presidential funds.</w:t>
      </w:r>
    </w:p>
    <w:p w:rsidR="00041DB1" w:rsidRDefault="00041DB1" w:rsidP="00041DB1">
      <w:pPr>
        <w:rPr>
          <w:b/>
          <w:i/>
          <w:iCs/>
        </w:rPr>
      </w:pPr>
      <w:r>
        <w:rPr>
          <w:b/>
          <w:i/>
          <w:iCs/>
        </w:rPr>
        <w:t xml:space="preserve">Committee on </w:t>
      </w:r>
      <w:r w:rsidRPr="00692031">
        <w:rPr>
          <w:b/>
          <w:i/>
          <w:iCs/>
        </w:rPr>
        <w:t>Economic and Professional Affairs (CEPA)</w:t>
      </w:r>
    </w:p>
    <w:p w:rsidR="00132D20" w:rsidRDefault="00132D20" w:rsidP="00041DB1">
      <w:pPr>
        <w:rPr>
          <w:iCs/>
        </w:rPr>
      </w:pPr>
      <w:r>
        <w:rPr>
          <w:iCs/>
        </w:rPr>
        <w:lastRenderedPageBreak/>
        <w:t xml:space="preserve">CEPA reported the 2014 New Graduate Survey Results which show the unemployment rate for new graduate chemists has dropped from 14.9 percent in the 2013 survey to 12.4 percent as of 2014. The drop is principally due to more new </w:t>
      </w:r>
      <w:r w:rsidR="00646DCC">
        <w:rPr>
          <w:iCs/>
        </w:rPr>
        <w:t>bachelor’s degree</w:t>
      </w:r>
      <w:r>
        <w:rPr>
          <w:iCs/>
        </w:rPr>
        <w:t xml:space="preserve"> chemists finding employment. ACS members experienced three successive years of lowered unemployment, which could hint at a positive outlook for chemists in coming years. While unemployment is down, salaries have been overall stagnant.</w:t>
      </w:r>
    </w:p>
    <w:p w:rsidR="004F5D19" w:rsidRDefault="004F5D19" w:rsidP="004F5D19">
      <w:pPr>
        <w:rPr>
          <w:b/>
          <w:i/>
          <w:iCs/>
        </w:rPr>
      </w:pPr>
      <w:r w:rsidRPr="00692031">
        <w:rPr>
          <w:b/>
          <w:i/>
          <w:iCs/>
        </w:rPr>
        <w:t>Women Chemists (WCC)</w:t>
      </w:r>
    </w:p>
    <w:p w:rsidR="004F5D19" w:rsidRDefault="004F5D19" w:rsidP="004F5D19">
      <w:pPr>
        <w:rPr>
          <w:iCs/>
        </w:rPr>
      </w:pPr>
      <w:r>
        <w:rPr>
          <w:iCs/>
        </w:rPr>
        <w:t xml:space="preserve">WCC celebrated ten early-to-mid-career women chemists as recipients of the </w:t>
      </w:r>
      <w:r w:rsidR="0073556E">
        <w:rPr>
          <w:iCs/>
        </w:rPr>
        <w:t xml:space="preserve">Fourth Annual </w:t>
      </w:r>
      <w:r>
        <w:rPr>
          <w:iCs/>
        </w:rPr>
        <w:t xml:space="preserve">WCC Rising Star </w:t>
      </w:r>
      <w:r w:rsidR="0073556E">
        <w:rPr>
          <w:iCs/>
        </w:rPr>
        <w:t>Awards, and eight WCC/Eli Lilly Travel Grant awardees. WCC is also collaborating with Merck to develop a new Research Award that will fund eight women graduate students to present their research at the fall national meeting in Boston.</w:t>
      </w:r>
    </w:p>
    <w:p w:rsidR="0073556E" w:rsidRPr="004F5D19" w:rsidRDefault="0073556E" w:rsidP="004F5D19">
      <w:pPr>
        <w:rPr>
          <w:iCs/>
        </w:rPr>
      </w:pPr>
      <w:r>
        <w:rPr>
          <w:iCs/>
        </w:rPr>
        <w:t>Members of WCC have been involved as contributing authors and editors for the second more diverse and inclusive edition of “Mom, the Chemistry Professor” being published by Springer.</w:t>
      </w:r>
    </w:p>
    <w:p w:rsidR="004F5D19" w:rsidRDefault="004F5D19" w:rsidP="004F5D19">
      <w:pPr>
        <w:rPr>
          <w:b/>
          <w:i/>
          <w:iCs/>
        </w:rPr>
      </w:pPr>
      <w:r w:rsidRPr="00692031">
        <w:rPr>
          <w:b/>
          <w:i/>
          <w:iCs/>
        </w:rPr>
        <w:t>Professional Training (CPT)</w:t>
      </w:r>
    </w:p>
    <w:p w:rsidR="0073556E" w:rsidRDefault="0073556E" w:rsidP="004F5D19">
      <w:pPr>
        <w:rPr>
          <w:iCs/>
        </w:rPr>
      </w:pPr>
      <w:r>
        <w:rPr>
          <w:iCs/>
        </w:rPr>
        <w:t>At this meeting, CPT reviewed 39 periodic reports from currently approved programs and held conferences with two departments beginning the process of applying for ACS approval. CPT also reviewed four site visit reports and approved three new programs.  There are currently 681 colleges and universities offering ACS-approved bachelor’s degree programs in chemistry.</w:t>
      </w:r>
    </w:p>
    <w:p w:rsidR="0073556E" w:rsidRPr="0073556E" w:rsidRDefault="0073556E" w:rsidP="004F5D19">
      <w:pPr>
        <w:rPr>
          <w:iCs/>
        </w:rPr>
      </w:pPr>
      <w:r>
        <w:rPr>
          <w:iCs/>
        </w:rPr>
        <w:t xml:space="preserve">The new </w:t>
      </w:r>
      <w:hyperlink r:id="rId12" w:history="1">
        <w:r w:rsidRPr="0073556E">
          <w:rPr>
            <w:rStyle w:val="Hyperlink"/>
            <w:iCs/>
          </w:rPr>
          <w:t>2015 ACS Guidelines for Bachelor’s Degree Programs</w:t>
        </w:r>
      </w:hyperlink>
      <w:r>
        <w:rPr>
          <w:iCs/>
        </w:rPr>
        <w:t xml:space="preserve"> were approved at CPT’s winter meeting and recently published on the ACS website.</w:t>
      </w:r>
    </w:p>
    <w:p w:rsidR="004F5D19" w:rsidRDefault="004F5D19" w:rsidP="004F5D19">
      <w:pPr>
        <w:rPr>
          <w:b/>
          <w:i/>
          <w:iCs/>
        </w:rPr>
      </w:pPr>
      <w:r w:rsidRPr="00692031">
        <w:rPr>
          <w:b/>
          <w:i/>
          <w:iCs/>
        </w:rPr>
        <w:t>International Activities (IAC)</w:t>
      </w:r>
    </w:p>
    <w:p w:rsidR="0073556E" w:rsidRPr="0073556E" w:rsidRDefault="00646DCC" w:rsidP="004F5D19">
      <w:pPr>
        <w:rPr>
          <w:iCs/>
        </w:rPr>
      </w:pPr>
      <w:r>
        <w:rPr>
          <w:iCs/>
        </w:rPr>
        <w:t xml:space="preserve">At this meeting, the committee received, reviewed, and approved annual reports from ACS International Chemical Sciences Chapters in Hong Kong, Hungary, Malaysia, Romania, Saudi Arabia, and Shanghai.  Additionally, the committee reviewed and approved new chapter applications initiated by members in Brazil, Nigeria, Peru, and the United Arab Emirates. </w:t>
      </w:r>
    </w:p>
    <w:p w:rsidR="00646DCC" w:rsidRDefault="004F5D19" w:rsidP="004F5D19">
      <w:pPr>
        <w:rPr>
          <w:b/>
          <w:i/>
          <w:iCs/>
        </w:rPr>
      </w:pPr>
      <w:r w:rsidRPr="00692031">
        <w:rPr>
          <w:b/>
          <w:i/>
          <w:iCs/>
        </w:rPr>
        <w:t>Environmental Improvement (CEI)</w:t>
      </w:r>
    </w:p>
    <w:p w:rsidR="009F3E98" w:rsidRDefault="00646DCC" w:rsidP="004F5D19">
      <w:pPr>
        <w:rPr>
          <w:iCs/>
        </w:rPr>
      </w:pPr>
      <w:r>
        <w:rPr>
          <w:iCs/>
        </w:rPr>
        <w:t xml:space="preserve">At this meeting CEI awarded Local Section Sustainability Grants to three </w:t>
      </w:r>
      <w:r w:rsidR="000D33D0">
        <w:rPr>
          <w:iCs/>
        </w:rPr>
        <w:t>Local Sections</w:t>
      </w:r>
      <w:r>
        <w:rPr>
          <w:iCs/>
        </w:rPr>
        <w:t xml:space="preserve">: Cornell, Kalamazoo, and Midland. </w:t>
      </w:r>
    </w:p>
    <w:p w:rsidR="009F3E98" w:rsidRDefault="009F3E98" w:rsidP="004F5D19">
      <w:pPr>
        <w:rPr>
          <w:iCs/>
        </w:rPr>
      </w:pPr>
      <w:r>
        <w:rPr>
          <w:iCs/>
        </w:rPr>
        <w:t xml:space="preserve">The committee has established working relationships with several technical divisions. </w:t>
      </w:r>
      <w:r w:rsidR="00646DCC">
        <w:rPr>
          <w:iCs/>
        </w:rPr>
        <w:t>The committee cosponsored</w:t>
      </w:r>
      <w:r>
        <w:rPr>
          <w:iCs/>
        </w:rPr>
        <w:t xml:space="preserve"> with Division of Chemical Education the symposium featuring the winners of the ACS-CEI Award for Incorporation of Sustainability into Chemical Education. CEI and the Division of Environmental Chemistry have jointly established a project to provide grant support for programming around climate change at regional meetings. </w:t>
      </w:r>
    </w:p>
    <w:p w:rsidR="009F3E98" w:rsidRPr="00646DCC" w:rsidRDefault="009F3E98" w:rsidP="004F5D19">
      <w:pPr>
        <w:rPr>
          <w:iCs/>
        </w:rPr>
      </w:pPr>
      <w:r>
        <w:rPr>
          <w:iCs/>
        </w:rPr>
        <w:lastRenderedPageBreak/>
        <w:t>CEI continues to review existing ACS policy statements, and at this meeting approved recommendations to the Board to establish new public policy statements on Hydraulic Fracturing and on Water Treatment and Conservation.</w:t>
      </w:r>
    </w:p>
    <w:p w:rsidR="00692031" w:rsidRDefault="00692031" w:rsidP="00692031">
      <w:pPr>
        <w:rPr>
          <w:b/>
          <w:i/>
          <w:iCs/>
        </w:rPr>
      </w:pPr>
      <w:r w:rsidRPr="00692031">
        <w:rPr>
          <w:b/>
          <w:i/>
          <w:iCs/>
        </w:rPr>
        <w:t>Chemistry and Public Affairs (CCPA)</w:t>
      </w:r>
    </w:p>
    <w:p w:rsidR="009F3E98" w:rsidRPr="009F3E98" w:rsidRDefault="007B19B6" w:rsidP="00692031">
      <w:pPr>
        <w:rPr>
          <w:iCs/>
        </w:rPr>
      </w:pPr>
      <w:r>
        <w:rPr>
          <w:iCs/>
        </w:rPr>
        <w:t xml:space="preserve">The committee highlighted the power of ACS member engagement in government affairs by relating the bipartisan effort, despite partisan roadblocks, to secure a resolution for National Chemistry Week in the United States Senate by Senator Chris Coons, a Democrat from Delaware, and Republican Senator Pat Toomey of Pennsylvania.   The extra effort invested by ACS members in Pennsylvania to ensure that the resolution had bipartisan sponsorship helps to underscore that science is an issue where both parties </w:t>
      </w:r>
      <w:r w:rsidRPr="007B19B6">
        <w:rPr>
          <w:iCs/>
          <w:u w:val="single"/>
        </w:rPr>
        <w:t>can</w:t>
      </w:r>
      <w:r>
        <w:rPr>
          <w:iCs/>
        </w:rPr>
        <w:t xml:space="preserve"> come together.</w:t>
      </w:r>
    </w:p>
    <w:p w:rsidR="00DD7C67" w:rsidRDefault="00CC46D9" w:rsidP="001D42BE">
      <w:pPr>
        <w:rPr>
          <w:sz w:val="28"/>
        </w:rPr>
      </w:pPr>
      <w:r>
        <w:rPr>
          <w:sz w:val="28"/>
          <w:shd w:val="clear" w:color="auto" w:fill="0070C0"/>
        </w:rPr>
        <w:pict>
          <v:rect id="_x0000_i1025" style="width:444.2pt;height:1pt" o:hrpct="977" o:hralign="center" o:hrstd="t" o:hr="t" fillcolor="#a0a0a0" stroked="f"/>
        </w:pict>
      </w:r>
    </w:p>
    <w:p w:rsidR="001A3933" w:rsidRPr="008B4388" w:rsidRDefault="003B69CE" w:rsidP="001D42BE">
      <w:pPr>
        <w:rPr>
          <w:sz w:val="28"/>
        </w:rPr>
      </w:pPr>
      <w:r w:rsidRPr="008B4388">
        <w:rPr>
          <w:sz w:val="28"/>
        </w:rPr>
        <w:t>Actions of the Board of Directors</w:t>
      </w:r>
    </w:p>
    <w:p w:rsidR="001A3933" w:rsidRPr="001D42BE" w:rsidRDefault="003B69CE" w:rsidP="001D42BE">
      <w:pPr>
        <w:rPr>
          <w:i/>
          <w:iCs/>
          <w:sz w:val="24"/>
        </w:rPr>
      </w:pPr>
      <w:r w:rsidRPr="001D42BE">
        <w:rPr>
          <w:i/>
          <w:iCs/>
          <w:sz w:val="24"/>
        </w:rPr>
        <w:t>The Board’s Executive Session</w:t>
      </w:r>
    </w:p>
    <w:p w:rsidR="001A3933" w:rsidRPr="008B4388" w:rsidRDefault="003B69CE" w:rsidP="001D42BE">
      <w:pPr>
        <w:rPr>
          <w:b/>
          <w:bCs/>
          <w:i/>
        </w:rPr>
      </w:pPr>
      <w:r w:rsidRPr="008B4388">
        <w:rPr>
          <w:b/>
          <w:bCs/>
          <w:i/>
        </w:rPr>
        <w:t xml:space="preserve">The Board’s </w:t>
      </w:r>
      <w:r w:rsidR="00367331" w:rsidRPr="008B4388">
        <w:rPr>
          <w:b/>
          <w:bCs/>
          <w:i/>
        </w:rPr>
        <w:t>Committee</w:t>
      </w:r>
      <w:r w:rsidRPr="008B4388">
        <w:rPr>
          <w:b/>
          <w:bCs/>
          <w:i/>
        </w:rPr>
        <w:t xml:space="preserve">s </w:t>
      </w:r>
    </w:p>
    <w:p w:rsidR="006703D2" w:rsidRDefault="006703D2" w:rsidP="006703D2">
      <w:r>
        <w:t xml:space="preserve">The Board of Directors received and discussed reports from its Committees on Grants and Awards (G&amp;A), Professional and Member Relations (P&amp;MR), Executive Compensation, and Corporation Associates; the Society Committee on Education (SOCED); and the Joint Board-Council Committee on Publications. </w:t>
      </w:r>
    </w:p>
    <w:p w:rsidR="006703D2" w:rsidRDefault="006703D2" w:rsidP="006703D2">
      <w:pPr>
        <w:pStyle w:val="ListParagraph"/>
        <w:numPr>
          <w:ilvl w:val="0"/>
          <w:numId w:val="15"/>
        </w:numPr>
      </w:pPr>
      <w:r>
        <w:t xml:space="preserve">On the recommendation of the Committee on Grants and Awards and of the Committee on Science, the Board voted to approve a Society nominee for the National Medal of Science. </w:t>
      </w:r>
    </w:p>
    <w:p w:rsidR="006703D2" w:rsidRDefault="006703D2" w:rsidP="006703D2">
      <w:pPr>
        <w:pStyle w:val="ListParagraph"/>
        <w:numPr>
          <w:ilvl w:val="0"/>
          <w:numId w:val="15"/>
        </w:numPr>
      </w:pPr>
      <w:r>
        <w:t xml:space="preserve">On the recommendation of the Committee on Professional and Member Relations, the Board voted to provide nominal sponsorship, without financial commitment, for the </w:t>
      </w:r>
      <w:hyperlink r:id="rId13" w:history="1">
        <w:r w:rsidRPr="00FB3612">
          <w:rPr>
            <w:rStyle w:val="Hyperlink"/>
          </w:rPr>
          <w:t>“Frontiers of Science Research and Education in the Middle East: A Bridge to Peace”</w:t>
        </w:r>
      </w:hyperlink>
      <w:r>
        <w:t xml:space="preserve"> (Malta VII) to be held in Rabat, Morocco, November, 2015.</w:t>
      </w:r>
    </w:p>
    <w:p w:rsidR="006703D2" w:rsidRDefault="006703D2" w:rsidP="006703D2">
      <w:pPr>
        <w:pStyle w:val="ListParagraph"/>
        <w:numPr>
          <w:ilvl w:val="0"/>
          <w:numId w:val="15"/>
        </w:numPr>
      </w:pPr>
      <w:r>
        <w:t xml:space="preserve">The Board received an extensive briefing and approved several recommendations from its Committee on Executive Compensation.  The compensation of the Society’s executive staff receives regular review from the Board. </w:t>
      </w:r>
    </w:p>
    <w:p w:rsidR="006703D2" w:rsidRDefault="006703D2" w:rsidP="006703D2">
      <w:pPr>
        <w:pStyle w:val="ListParagraph"/>
        <w:numPr>
          <w:ilvl w:val="0"/>
          <w:numId w:val="15"/>
        </w:numPr>
      </w:pPr>
      <w:r>
        <w:t xml:space="preserve">On the recommendation of the Society Committee on Education, the Board voted to approve a procedure for the establishment of the inaugural Governing Board for the </w:t>
      </w:r>
      <w:hyperlink r:id="rId14" w:history="1">
        <w:r w:rsidRPr="00FB3612">
          <w:rPr>
            <w:rStyle w:val="Hyperlink"/>
          </w:rPr>
          <w:t>American Association of Chemistry Teachers (AACT)</w:t>
        </w:r>
      </w:hyperlink>
      <w:r>
        <w:t xml:space="preserve">. </w:t>
      </w:r>
    </w:p>
    <w:p w:rsidR="006703D2" w:rsidRDefault="006703D2" w:rsidP="006703D2">
      <w:pPr>
        <w:pStyle w:val="ListParagraph"/>
        <w:numPr>
          <w:ilvl w:val="0"/>
          <w:numId w:val="15"/>
        </w:numPr>
      </w:pPr>
      <w:r>
        <w:t>On the recommendation of the Joint Board-Council Committee on Publications, the Board voted to approve the reappointment of an Editor-in-Chief for an ACS journal.</w:t>
      </w:r>
    </w:p>
    <w:p w:rsidR="001A3933" w:rsidRPr="008B4388" w:rsidRDefault="003B69CE" w:rsidP="001D42BE">
      <w:pPr>
        <w:rPr>
          <w:b/>
          <w:bCs/>
          <w:i/>
        </w:rPr>
      </w:pPr>
      <w:r w:rsidRPr="008B4388">
        <w:rPr>
          <w:b/>
          <w:bCs/>
          <w:i/>
        </w:rPr>
        <w:t xml:space="preserve">The Executive Director/Chief Executive Officer’s Report </w:t>
      </w:r>
    </w:p>
    <w:p w:rsidR="006703D2" w:rsidRDefault="006703D2" w:rsidP="006703D2">
      <w:r>
        <w:lastRenderedPageBreak/>
        <w:t>The Executive Director/CEO offered a review of his initial month in the position, and his direct reports updated the Board on the activities of Chemical Abstracts Service (CAS), the ACS Publications Division, the Society’s Treasurer, and the Society’s General Counsel.</w:t>
      </w:r>
    </w:p>
    <w:p w:rsidR="00887907" w:rsidRDefault="003B69CE" w:rsidP="001D42BE">
      <w:pPr>
        <w:rPr>
          <w:i/>
          <w:iCs/>
          <w:sz w:val="24"/>
        </w:rPr>
      </w:pPr>
      <w:r w:rsidRPr="001D42BE">
        <w:rPr>
          <w:i/>
          <w:iCs/>
          <w:sz w:val="24"/>
        </w:rPr>
        <w:t>The Board’s Open Session</w:t>
      </w:r>
    </w:p>
    <w:p w:rsidR="001D42BE" w:rsidRDefault="00ED4737" w:rsidP="001D42BE">
      <w:pPr>
        <w:rPr>
          <w:iCs/>
        </w:rPr>
      </w:pPr>
      <w:r w:rsidRPr="00ED4737">
        <w:rPr>
          <w:iCs/>
        </w:rPr>
        <w:t>The Board held a well-attended open session which featured</w:t>
      </w:r>
      <w:r>
        <w:rPr>
          <w:iCs/>
        </w:rPr>
        <w:t xml:space="preserve"> </w:t>
      </w:r>
      <w:r w:rsidR="00DD7C67" w:rsidRPr="00DD7C67">
        <w:rPr>
          <w:iCs/>
        </w:rPr>
        <w:t>Bibiana Campos</w:t>
      </w:r>
      <w:r w:rsidR="007A32DF">
        <w:rPr>
          <w:iCs/>
        </w:rPr>
        <w:t xml:space="preserve"> </w:t>
      </w:r>
      <w:r w:rsidR="00DD7C67" w:rsidRPr="00DD7C67">
        <w:rPr>
          <w:iCs/>
        </w:rPr>
        <w:t xml:space="preserve">Seijo, Editor-in-Chief, </w:t>
      </w:r>
      <w:r w:rsidR="00DD7C67" w:rsidRPr="00FB3612">
        <w:rPr>
          <w:i/>
          <w:iCs/>
        </w:rPr>
        <w:t>C&amp;EN</w:t>
      </w:r>
      <w:r w:rsidR="00DD7C67">
        <w:rPr>
          <w:iCs/>
        </w:rPr>
        <w:t xml:space="preserve">.  Dr. Campos Seijo’s </w:t>
      </w:r>
      <w:r>
        <w:rPr>
          <w:iCs/>
        </w:rPr>
        <w:t xml:space="preserve">topic was </w:t>
      </w:r>
      <w:r w:rsidR="00DD7C67" w:rsidRPr="00DD7C67">
        <w:rPr>
          <w:iCs/>
        </w:rPr>
        <w:t>“Getting Bang for Your Buck in Science Communications</w:t>
      </w:r>
      <w:r w:rsidR="00DD7C67">
        <w:rPr>
          <w:iCs/>
        </w:rPr>
        <w:t>.</w:t>
      </w:r>
      <w:r w:rsidR="00DD7C67" w:rsidRPr="00DD7C67">
        <w:rPr>
          <w:iCs/>
        </w:rPr>
        <w:t>”</w:t>
      </w:r>
      <w:r w:rsidR="00DD7C67">
        <w:rPr>
          <w:iCs/>
        </w:rPr>
        <w:t xml:space="preserve"> Prior to </w:t>
      </w:r>
      <w:r>
        <w:rPr>
          <w:iCs/>
        </w:rPr>
        <w:t xml:space="preserve">the presentation, members of the presidential succession and the </w:t>
      </w:r>
      <w:r w:rsidR="00FB3612">
        <w:rPr>
          <w:iCs/>
        </w:rPr>
        <w:t xml:space="preserve">new </w:t>
      </w:r>
      <w:r>
        <w:rPr>
          <w:iCs/>
        </w:rPr>
        <w:t>Executiv</w:t>
      </w:r>
      <w:r w:rsidR="00D15012">
        <w:rPr>
          <w:iCs/>
        </w:rPr>
        <w:t>e Director and CEO offered brief re</w:t>
      </w:r>
      <w:r>
        <w:rPr>
          <w:iCs/>
        </w:rPr>
        <w:t>ports</w:t>
      </w:r>
      <w:r w:rsidR="00D15012">
        <w:rPr>
          <w:iCs/>
        </w:rPr>
        <w:t xml:space="preserve"> on their activities</w:t>
      </w:r>
      <w:r>
        <w:rPr>
          <w:iCs/>
        </w:rPr>
        <w:t>.</w:t>
      </w:r>
      <w:r w:rsidR="00D15012">
        <w:rPr>
          <w:iCs/>
        </w:rPr>
        <w:t xml:space="preserve"> The officers provided more extensive reports on their activities and/or future plans as part of their reports to the Council.</w:t>
      </w:r>
    </w:p>
    <w:sectPr w:rsidR="001D42BE" w:rsidSect="002C2047">
      <w:headerReference w:type="default" r:id="rId15"/>
      <w:footerReference w:type="even" r:id="rId16"/>
      <w:footerReference w:type="default" r:id="rId17"/>
      <w:headerReference w:type="first" r:id="rId18"/>
      <w:footerReference w:type="first" r:id="rId19"/>
      <w:type w:val="continuous"/>
      <w:pgSz w:w="12240" w:h="15840" w:code="1"/>
      <w:pgMar w:top="1000" w:right="1797" w:bottom="1400" w:left="1350" w:header="720" w:footer="547"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6D9" w:rsidRDefault="00CC46D9" w:rsidP="001D42BE">
      <w:pPr>
        <w:spacing w:after="0" w:line="240" w:lineRule="auto"/>
      </w:pPr>
      <w:r>
        <w:separator/>
      </w:r>
    </w:p>
  </w:endnote>
  <w:endnote w:type="continuationSeparator" w:id="0">
    <w:p w:rsidR="00CC46D9" w:rsidRDefault="00CC46D9" w:rsidP="001D4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130E" w:rsidRDefault="003B6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7130E" w:rsidRDefault="00CC46D9">
    <w:pPr>
      <w:pStyle w:val="Footer"/>
    </w:pPr>
  </w:p>
  <w:p w:rsidR="0057130E" w:rsidRDefault="00CC46D9"/>
  <w:p w:rsidR="007D05FB" w:rsidRDefault="007D05F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0122942"/>
      <w:docPartObj>
        <w:docPartGallery w:val="Page Numbers (Bottom of Page)"/>
        <w:docPartUnique/>
      </w:docPartObj>
    </w:sdtPr>
    <w:sdtEndPr>
      <w:rPr>
        <w:noProof/>
      </w:rPr>
    </w:sdtEndPr>
    <w:sdtContent>
      <w:p w:rsidR="001D42BE" w:rsidRDefault="00DA05C1" w:rsidP="00A12C16">
        <w:r w:rsidRPr="00BA0E5A">
          <w:rPr>
            <w:rStyle w:val="PageNumber"/>
            <w:rFonts w:cs="Arial"/>
            <w:b/>
            <w:color w:val="0039A6"/>
            <w:sz w:val="20"/>
          </w:rPr>
          <w:t>American Chemical Society</w:t>
        </w:r>
        <w:r w:rsidRPr="00BA0E5A">
          <w:rPr>
            <w:rStyle w:val="PageNumber"/>
            <w:rFonts w:cs="Arial"/>
            <w:b/>
            <w:color w:val="0039A6"/>
            <w:sz w:val="20"/>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sidRPr="00BA0E5A">
          <w:rPr>
            <w:rStyle w:val="PageNumber"/>
            <w:rFonts w:cs="Arial"/>
            <w:b/>
            <w:color w:val="0039A6"/>
            <w:sz w:val="20"/>
          </w:rPr>
          <w:fldChar w:fldCharType="begin"/>
        </w:r>
        <w:r w:rsidRPr="00BA0E5A">
          <w:rPr>
            <w:rStyle w:val="PageNumber"/>
            <w:rFonts w:cs="Arial"/>
            <w:b/>
            <w:color w:val="0039A6"/>
            <w:sz w:val="20"/>
          </w:rPr>
          <w:instrText xml:space="preserve"> PAGE   \* MERGEFORMAT </w:instrText>
        </w:r>
        <w:r w:rsidRPr="00BA0E5A">
          <w:rPr>
            <w:rStyle w:val="PageNumber"/>
            <w:rFonts w:cs="Arial"/>
            <w:b/>
            <w:color w:val="0039A6"/>
            <w:sz w:val="20"/>
          </w:rPr>
          <w:fldChar w:fldCharType="separate"/>
        </w:r>
        <w:r w:rsidR="00BB388B">
          <w:rPr>
            <w:rStyle w:val="PageNumber"/>
            <w:rFonts w:cs="Arial"/>
            <w:b/>
            <w:noProof/>
            <w:color w:val="0039A6"/>
            <w:sz w:val="20"/>
          </w:rPr>
          <w:t>2</w:t>
        </w:r>
        <w:r w:rsidRPr="00BA0E5A">
          <w:rPr>
            <w:rStyle w:val="PageNumber"/>
            <w:rFonts w:cs="Arial"/>
            <w:b/>
            <w:noProof/>
            <w:color w:val="0039A6"/>
            <w:sz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130E" w:rsidRPr="007A3C38" w:rsidRDefault="003B69CE" w:rsidP="00DA05C1">
    <w:pPr>
      <w:rPr>
        <w:rStyle w:val="PageNumber"/>
        <w:rFonts w:cs="Arial"/>
        <w:b/>
        <w:color w:val="0039A6"/>
      </w:rPr>
    </w:pPr>
    <w:r w:rsidRPr="007A3C38">
      <w:rPr>
        <w:rStyle w:val="PageNumber"/>
        <w:rFonts w:cs="Arial"/>
        <w:b/>
        <w:color w:val="0039A6"/>
      </w:rPr>
      <w:t>American Chemical Society</w:t>
    </w:r>
  </w:p>
  <w:p w:rsidR="009A5680" w:rsidRPr="009A5680" w:rsidRDefault="00CC46D9" w:rsidP="009A5680">
    <w:pPr>
      <w:rPr>
        <w:rFonts w:cs="Arial"/>
        <w:b/>
        <w:color w:val="0039A6"/>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6D9" w:rsidRDefault="00CC46D9" w:rsidP="001D42BE">
      <w:pPr>
        <w:spacing w:after="0" w:line="240" w:lineRule="auto"/>
      </w:pPr>
      <w:r>
        <w:separator/>
      </w:r>
    </w:p>
  </w:footnote>
  <w:footnote w:type="continuationSeparator" w:id="0">
    <w:p w:rsidR="00CC46D9" w:rsidRDefault="00CC46D9" w:rsidP="001D42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587" w:rsidRDefault="00DA05C1" w:rsidP="00DA05C1">
    <w:pPr>
      <w:pStyle w:val="Header"/>
    </w:pP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rsidR="00040587" w:rsidRPr="00040587" w:rsidRDefault="00040587" w:rsidP="00DA05C1">
    <w:pPr>
      <w:pStyle w:val="Header"/>
      <w:rPr>
        <w:rStyle w:val="PageNumber"/>
        <w:rFonts w:cs="Arial"/>
        <w:b/>
        <w:color w:val="0039A6"/>
        <w:sz w:val="24"/>
      </w:rPr>
    </w:pPr>
    <w:r>
      <w:rPr>
        <w:rStyle w:val="PageNumber"/>
        <w:rFonts w:cs="Arial"/>
        <w:b/>
        <w:color w:val="0039A6"/>
        <w:sz w:val="24"/>
      </w:rPr>
      <w:t>C</w:t>
    </w:r>
    <w:r w:rsidR="00DA05C1" w:rsidRPr="00040587">
      <w:rPr>
        <w:rStyle w:val="PageNumber"/>
        <w:rFonts w:cs="Arial"/>
        <w:b/>
        <w:color w:val="0039A6"/>
        <w:sz w:val="24"/>
      </w:rPr>
      <w:t xml:space="preserve">ouncilor Talking Points and </w:t>
    </w:r>
  </w:p>
  <w:p w:rsidR="00DA05C1" w:rsidRPr="00040587" w:rsidRDefault="00DA05C1" w:rsidP="00DA05C1">
    <w:pPr>
      <w:pStyle w:val="Header"/>
      <w:rPr>
        <w:rStyle w:val="PageNumber"/>
        <w:rFonts w:cs="Arial"/>
        <w:b/>
        <w:color w:val="0039A6"/>
        <w:sz w:val="24"/>
      </w:rPr>
    </w:pPr>
    <w:r w:rsidRPr="00040587">
      <w:rPr>
        <w:rStyle w:val="PageNumber"/>
        <w:rFonts w:cs="Arial"/>
        <w:b/>
        <w:color w:val="0039A6"/>
        <w:sz w:val="24"/>
      </w:rPr>
      <w:t>Summary of Governance Issues and Actions</w:t>
    </w:r>
  </w:p>
  <w:p w:rsidR="00040587" w:rsidRDefault="00040587" w:rsidP="00DA05C1">
    <w:pPr>
      <w:pStyle w:val="Header"/>
      <w:rPr>
        <w:rStyle w:val="PageNumber"/>
        <w:rFonts w:cs="Arial"/>
        <w:b/>
        <w:color w:val="0039A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4388" w:rsidRDefault="003B69CE" w:rsidP="0083338E">
    <w:pPr>
      <w:pStyle w:val="Header"/>
      <w:tabs>
        <w:tab w:val="left" w:pos="5640"/>
      </w:tabs>
    </w:pPr>
    <w:r>
      <w:rPr>
        <w:noProof/>
      </w:rPr>
      <mc:AlternateContent>
        <mc:Choice Requires="wps">
          <w:drawing>
            <wp:anchor distT="0" distB="0" distL="114300" distR="114300" simplePos="0" relativeHeight="251660288" behindDoc="0" locked="0" layoutInCell="1" allowOverlap="1" wp14:anchorId="27358CA1" wp14:editId="4C60BFC6">
              <wp:simplePos x="0" y="0"/>
              <wp:positionH relativeFrom="page">
                <wp:posOffset>360045</wp:posOffset>
              </wp:positionH>
              <wp:positionV relativeFrom="paragraph">
                <wp:posOffset>-95250</wp:posOffset>
              </wp:positionV>
              <wp:extent cx="356235" cy="899795"/>
              <wp:effectExtent l="0" t="0" r="0" b="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28.35pt;margin-top:-7.5pt;width:2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4cxgQIAAPo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" fillcolor="#fdc82f" stroked="f" strokecolor="#036">
              <w10:wrap anchorx="page"/>
            </v:rect>
          </w:pict>
        </mc:Fallback>
      </mc:AlternateContent>
    </w:r>
    <w:r>
      <w:rPr>
        <w:noProof/>
      </w:rPr>
      <mc:AlternateContent>
        <mc:Choice Requires="wps">
          <w:drawing>
            <wp:anchor distT="0" distB="0" distL="114300" distR="114300" simplePos="0" relativeHeight="251659264" behindDoc="0" locked="1" layoutInCell="1" allowOverlap="1" wp14:anchorId="36A9ED1E" wp14:editId="2FFA57BD">
              <wp:simplePos x="0" y="0"/>
              <wp:positionH relativeFrom="column">
                <wp:posOffset>5837555</wp:posOffset>
              </wp:positionH>
              <wp:positionV relativeFrom="paragraph">
                <wp:posOffset>652780</wp:posOffset>
              </wp:positionV>
              <wp:extent cx="2913380" cy="270510"/>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270510"/>
                      </a:xfrm>
                      <a:prstGeom prst="rect">
                        <a:avLst/>
                      </a:prstGeom>
                      <a:noFill/>
                      <a:ln>
                        <a:noFill/>
                      </a:ln>
                      <a:effectLst/>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lgn="ctr">
                            <a:solidFill>
                              <a:srgbClr val="003366"/>
                            </a:solidFill>
                            <a:miter lim="800000"/>
                            <a:headEnd/>
                            <a:tailEnd/>
                          </a14:hiddenLine>
                        </a:ext>
                        <a:ext uri="{AF507438-7753-43E0-B8FC-AC1667EBCBE1}">
                          <a14:hiddenEffects xmlns:a14="http://schemas.microsoft.com/office/drawing/2010/main">
                            <a:effectLst/>
                          </a14:hiddenEffects>
                        </a:ext>
                      </a:extLst>
                    </wps:spPr>
                    <wps:txb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CC46D9" w:rsidP="00F32734">
                          <w:pPr>
                            <w:spacing w:line="288" w:lineRule="auto"/>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459.65pt;margin-top:51.4pt;width:229.4pt;height:2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" filled="f" fillcolor="#ffce34" stroked="f" strokecolor="#036">
              <v:textbo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01076A" w:rsidP="00F32734">
                    <w:pPr>
                      <w:spacing w:line="288" w:lineRule="auto"/>
                      <w:jc w:val="right"/>
                      <w:rPr>
                        <w:sz w:val="16"/>
                        <w:szCs w:val="16"/>
                      </w:rPr>
                    </w:pPr>
                  </w:p>
                </w:txbxContent>
              </v:textbox>
              <w10:anchorlock/>
            </v:shape>
          </w:pict>
        </mc:Fallback>
      </mc:AlternateContent>
    </w:r>
  </w:p>
  <w:p w:rsidR="0057130E" w:rsidRPr="0057130E" w:rsidRDefault="00CF00EB" w:rsidP="0083338E">
    <w:pPr>
      <w:pStyle w:val="Header"/>
      <w:tabs>
        <w:tab w:val="left" w:pos="5640"/>
      </w:tabs>
      <w:rPr>
        <w:b/>
        <w:color w:val="0054A6"/>
      </w:rPr>
    </w:pPr>
    <w:r>
      <w:rPr>
        <w:noProof/>
      </w:rPr>
      <w:drawing>
        <wp:inline distT="0" distB="0" distL="0" distR="0" wp14:anchorId="3204BE36" wp14:editId="7B01DB34">
          <wp:extent cx="1733550" cy="552450"/>
          <wp:effectExtent l="0" t="0" r="0" b="0"/>
          <wp:docPr id="28" name="Picture 28"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r w:rsidR="00DA05C1">
      <w:rPr>
        <w:noProof/>
      </w:rPr>
      <mc:AlternateContent>
        <mc:Choice Requires="wps">
          <w:drawing>
            <wp:anchor distT="0" distB="0" distL="114300" distR="114300" simplePos="0" relativeHeight="251661312" behindDoc="0" locked="0" layoutInCell="1" allowOverlap="1" wp14:anchorId="114365EF" wp14:editId="61AA4808">
              <wp:simplePos x="0" y="0"/>
              <wp:positionH relativeFrom="page">
                <wp:posOffset>361950</wp:posOffset>
              </wp:positionH>
              <wp:positionV relativeFrom="page">
                <wp:posOffset>1266825</wp:posOffset>
              </wp:positionV>
              <wp:extent cx="356235" cy="7820025"/>
              <wp:effectExtent l="0" t="0" r="5715" b="9525"/>
              <wp:wrapNone/>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820025"/>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8.5pt;margin-top:99.75pt;width:28.05pt;height:615.7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" fillcolor="#0039a6" stroked="f" strokecolor="#036">
              <w10:wrap anchorx="page" anchory="page"/>
            </v:rect>
          </w:pict>
        </mc:Fallback>
      </mc:AlternateContent>
    </w:r>
    <w:r w:rsidR="00F75131">
      <w:rPr>
        <w:b/>
        <w:color w:val="0054A6"/>
      </w:rPr>
      <w:tab/>
    </w:r>
    <w:r w:rsidR="00F75131">
      <w:rPr>
        <w:b/>
        <w:color w:val="0054A6"/>
      </w:rPr>
      <w:tab/>
    </w:r>
    <w:r w:rsidR="00F75131">
      <w:rPr>
        <w:b/>
        <w:color w:val="0054A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2333D"/>
    <w:multiLevelType w:val="hybridMultilevel"/>
    <w:tmpl w:val="AE14BB0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57E53F7"/>
    <w:multiLevelType w:val="hybridMultilevel"/>
    <w:tmpl w:val="FE0E1D2C"/>
    <w:lvl w:ilvl="0" w:tplc="04090005">
      <w:start w:val="1"/>
      <w:numFmt w:val="bullet"/>
      <w:lvlText w:val=""/>
      <w:lvlJc w:val="left"/>
      <w:pPr>
        <w:ind w:left="720" w:hanging="360"/>
      </w:pPr>
      <w:rPr>
        <w:rFonts w:ascii="Wingdings" w:hAnsi="Wingdings" w:hint="default"/>
      </w:rPr>
    </w:lvl>
    <w:lvl w:ilvl="1" w:tplc="2E865590">
      <w:numFmt w:val="bullet"/>
      <w:lvlText w:val="•"/>
      <w:lvlJc w:val="left"/>
      <w:pPr>
        <w:ind w:left="1800" w:hanging="720"/>
      </w:pPr>
      <w:rPr>
        <w:rFonts w:ascii="Cambria" w:eastAsiaTheme="majorEastAsia" w:hAnsi="Cambria" w:cstheme="maj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F75F5C"/>
    <w:multiLevelType w:val="hybridMultilevel"/>
    <w:tmpl w:val="9BF6A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2868EB"/>
    <w:multiLevelType w:val="hybridMultilevel"/>
    <w:tmpl w:val="8858F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DF69E1"/>
    <w:multiLevelType w:val="hybridMultilevel"/>
    <w:tmpl w:val="6CA8C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840ACA"/>
    <w:multiLevelType w:val="hybridMultilevel"/>
    <w:tmpl w:val="F60840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A91DED"/>
    <w:multiLevelType w:val="hybridMultilevel"/>
    <w:tmpl w:val="929CE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CD68CA"/>
    <w:multiLevelType w:val="hybridMultilevel"/>
    <w:tmpl w:val="D57A31EA"/>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A372F86"/>
    <w:multiLevelType w:val="hybridMultilevel"/>
    <w:tmpl w:val="BF48D5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E25A73"/>
    <w:multiLevelType w:val="hybridMultilevel"/>
    <w:tmpl w:val="5DCCB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7C6089"/>
    <w:multiLevelType w:val="hybridMultilevel"/>
    <w:tmpl w:val="7CECF16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61855D7"/>
    <w:multiLevelType w:val="hybridMultilevel"/>
    <w:tmpl w:val="AD2E5DF2"/>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720"/>
        </w:tabs>
        <w:ind w:left="720" w:hanging="360"/>
      </w:pPr>
      <w:rPr>
        <w:rFonts w:ascii="Symbol" w:hAnsi="Symbol" w:hint="default"/>
      </w:rPr>
    </w:lvl>
    <w:lvl w:ilvl="2" w:tplc="04090001">
      <w:start w:val="1"/>
      <w:numFmt w:val="bullet"/>
      <w:lvlText w:val=""/>
      <w:lvlJc w:val="left"/>
      <w:pPr>
        <w:tabs>
          <w:tab w:val="num" w:pos="1440"/>
        </w:tabs>
        <w:ind w:left="1440" w:hanging="360"/>
      </w:pPr>
      <w:rPr>
        <w:rFonts w:ascii="Symbol" w:hAnsi="Symbol"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
    <w:nsid w:val="46957463"/>
    <w:multiLevelType w:val="hybridMultilevel"/>
    <w:tmpl w:val="8FEE417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E2934CF"/>
    <w:multiLevelType w:val="hybridMultilevel"/>
    <w:tmpl w:val="685E69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E380BC5"/>
    <w:multiLevelType w:val="hybridMultilevel"/>
    <w:tmpl w:val="60FABB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5672D4"/>
    <w:multiLevelType w:val="hybridMultilevel"/>
    <w:tmpl w:val="6302BA0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4E606B88"/>
    <w:multiLevelType w:val="hybridMultilevel"/>
    <w:tmpl w:val="1DD868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447950"/>
    <w:multiLevelType w:val="hybridMultilevel"/>
    <w:tmpl w:val="71A8BF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7465E6E"/>
    <w:multiLevelType w:val="hybridMultilevel"/>
    <w:tmpl w:val="2E5025C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58F14D50"/>
    <w:multiLevelType w:val="hybridMultilevel"/>
    <w:tmpl w:val="92F8D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2B03D1D"/>
    <w:multiLevelType w:val="hybridMultilevel"/>
    <w:tmpl w:val="A9C45FA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A0C1FAB"/>
    <w:multiLevelType w:val="hybridMultilevel"/>
    <w:tmpl w:val="8CFC3F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1A750D0"/>
    <w:multiLevelType w:val="hybridMultilevel"/>
    <w:tmpl w:val="166ED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704FAE"/>
    <w:multiLevelType w:val="hybridMultilevel"/>
    <w:tmpl w:val="9A98441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8"/>
  </w:num>
  <w:num w:numId="3">
    <w:abstractNumId w:val="16"/>
  </w:num>
  <w:num w:numId="4">
    <w:abstractNumId w:val="7"/>
  </w:num>
  <w:num w:numId="5">
    <w:abstractNumId w:val="23"/>
  </w:num>
  <w:num w:numId="6">
    <w:abstractNumId w:val="14"/>
  </w:num>
  <w:num w:numId="7">
    <w:abstractNumId w:val="21"/>
  </w:num>
  <w:num w:numId="8">
    <w:abstractNumId w:val="10"/>
  </w:num>
  <w:num w:numId="9">
    <w:abstractNumId w:val="17"/>
  </w:num>
  <w:num w:numId="10">
    <w:abstractNumId w:val="2"/>
  </w:num>
  <w:num w:numId="11">
    <w:abstractNumId w:val="9"/>
  </w:num>
  <w:num w:numId="12">
    <w:abstractNumId w:val="19"/>
  </w:num>
  <w:num w:numId="13">
    <w:abstractNumId w:val="6"/>
  </w:num>
  <w:num w:numId="14">
    <w:abstractNumId w:val="22"/>
  </w:num>
  <w:num w:numId="15">
    <w:abstractNumId w:val="5"/>
  </w:num>
  <w:num w:numId="16">
    <w:abstractNumId w:val="18"/>
  </w:num>
  <w:num w:numId="17">
    <w:abstractNumId w:val="15"/>
  </w:num>
  <w:num w:numId="18">
    <w:abstractNumId w:val="11"/>
  </w:num>
  <w:num w:numId="19">
    <w:abstractNumId w:val="0"/>
  </w:num>
  <w:num w:numId="20">
    <w:abstractNumId w:val="4"/>
  </w:num>
  <w:num w:numId="21">
    <w:abstractNumId w:val="20"/>
  </w:num>
  <w:num w:numId="22">
    <w:abstractNumId w:val="13"/>
  </w:num>
  <w:num w:numId="23">
    <w:abstractNumId w:val="3"/>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2BE"/>
    <w:rsid w:val="000016B4"/>
    <w:rsid w:val="00040587"/>
    <w:rsid w:val="00041DB1"/>
    <w:rsid w:val="000934A3"/>
    <w:rsid w:val="000A0134"/>
    <w:rsid w:val="000A0158"/>
    <w:rsid w:val="000A1EF6"/>
    <w:rsid w:val="000A4B91"/>
    <w:rsid w:val="000D33D0"/>
    <w:rsid w:val="000E1944"/>
    <w:rsid w:val="00132D20"/>
    <w:rsid w:val="00133281"/>
    <w:rsid w:val="00150B2C"/>
    <w:rsid w:val="00190848"/>
    <w:rsid w:val="001C1073"/>
    <w:rsid w:val="001C6A82"/>
    <w:rsid w:val="001D42BE"/>
    <w:rsid w:val="001D4E09"/>
    <w:rsid w:val="001D7961"/>
    <w:rsid w:val="002228F2"/>
    <w:rsid w:val="00264CF2"/>
    <w:rsid w:val="002678ED"/>
    <w:rsid w:val="002801C0"/>
    <w:rsid w:val="00284E6C"/>
    <w:rsid w:val="00286B8C"/>
    <w:rsid w:val="00292C22"/>
    <w:rsid w:val="002C2047"/>
    <w:rsid w:val="002E7288"/>
    <w:rsid w:val="003064AA"/>
    <w:rsid w:val="00317240"/>
    <w:rsid w:val="003264A7"/>
    <w:rsid w:val="00343B7C"/>
    <w:rsid w:val="003504B6"/>
    <w:rsid w:val="00357C86"/>
    <w:rsid w:val="00367331"/>
    <w:rsid w:val="00384C86"/>
    <w:rsid w:val="00387585"/>
    <w:rsid w:val="00390A3C"/>
    <w:rsid w:val="003A4071"/>
    <w:rsid w:val="003A591F"/>
    <w:rsid w:val="003B69CE"/>
    <w:rsid w:val="003B6D0D"/>
    <w:rsid w:val="003D5B66"/>
    <w:rsid w:val="00454E97"/>
    <w:rsid w:val="00466BF2"/>
    <w:rsid w:val="004C6961"/>
    <w:rsid w:val="004F5D19"/>
    <w:rsid w:val="004F680B"/>
    <w:rsid w:val="00511C25"/>
    <w:rsid w:val="005260A7"/>
    <w:rsid w:val="0054246A"/>
    <w:rsid w:val="00551A74"/>
    <w:rsid w:val="005827A6"/>
    <w:rsid w:val="005E1621"/>
    <w:rsid w:val="00642627"/>
    <w:rsid w:val="00646DCC"/>
    <w:rsid w:val="006703D2"/>
    <w:rsid w:val="00672D63"/>
    <w:rsid w:val="00692031"/>
    <w:rsid w:val="006A6136"/>
    <w:rsid w:val="006E0987"/>
    <w:rsid w:val="006E4820"/>
    <w:rsid w:val="0073556E"/>
    <w:rsid w:val="0073561C"/>
    <w:rsid w:val="007943AD"/>
    <w:rsid w:val="007A32DF"/>
    <w:rsid w:val="007B19B6"/>
    <w:rsid w:val="007C5FD1"/>
    <w:rsid w:val="007C67D8"/>
    <w:rsid w:val="007D05FB"/>
    <w:rsid w:val="007F7C36"/>
    <w:rsid w:val="00815DFF"/>
    <w:rsid w:val="008276A9"/>
    <w:rsid w:val="00847356"/>
    <w:rsid w:val="0085363A"/>
    <w:rsid w:val="00863505"/>
    <w:rsid w:val="00877B5A"/>
    <w:rsid w:val="008A5A0C"/>
    <w:rsid w:val="008B4388"/>
    <w:rsid w:val="008D5937"/>
    <w:rsid w:val="008E508F"/>
    <w:rsid w:val="008F718F"/>
    <w:rsid w:val="008F72CD"/>
    <w:rsid w:val="0094147A"/>
    <w:rsid w:val="009630B5"/>
    <w:rsid w:val="00964490"/>
    <w:rsid w:val="00966091"/>
    <w:rsid w:val="009F3E98"/>
    <w:rsid w:val="00A00A43"/>
    <w:rsid w:val="00A12C16"/>
    <w:rsid w:val="00A37E0F"/>
    <w:rsid w:val="00A77292"/>
    <w:rsid w:val="00AD08F4"/>
    <w:rsid w:val="00B42ACB"/>
    <w:rsid w:val="00BA0598"/>
    <w:rsid w:val="00BA0E5A"/>
    <w:rsid w:val="00BB0E18"/>
    <w:rsid w:val="00BB388B"/>
    <w:rsid w:val="00C26369"/>
    <w:rsid w:val="00C545EA"/>
    <w:rsid w:val="00C7123B"/>
    <w:rsid w:val="00C72653"/>
    <w:rsid w:val="00C911D5"/>
    <w:rsid w:val="00C9525D"/>
    <w:rsid w:val="00CC46D9"/>
    <w:rsid w:val="00CD276A"/>
    <w:rsid w:val="00CD7BA5"/>
    <w:rsid w:val="00CF00EB"/>
    <w:rsid w:val="00D15012"/>
    <w:rsid w:val="00D22FDA"/>
    <w:rsid w:val="00D50237"/>
    <w:rsid w:val="00D541FB"/>
    <w:rsid w:val="00D54CCA"/>
    <w:rsid w:val="00D63D7A"/>
    <w:rsid w:val="00D65572"/>
    <w:rsid w:val="00DA05C1"/>
    <w:rsid w:val="00DD7C67"/>
    <w:rsid w:val="00DE6176"/>
    <w:rsid w:val="00E21298"/>
    <w:rsid w:val="00E22ACE"/>
    <w:rsid w:val="00E43A63"/>
    <w:rsid w:val="00E44727"/>
    <w:rsid w:val="00E52C75"/>
    <w:rsid w:val="00E566B6"/>
    <w:rsid w:val="00E82D73"/>
    <w:rsid w:val="00E941E5"/>
    <w:rsid w:val="00E9486A"/>
    <w:rsid w:val="00EA15B7"/>
    <w:rsid w:val="00EB0C91"/>
    <w:rsid w:val="00EC2AEA"/>
    <w:rsid w:val="00EC7BA4"/>
    <w:rsid w:val="00ED4737"/>
    <w:rsid w:val="00EF024F"/>
    <w:rsid w:val="00F21278"/>
    <w:rsid w:val="00F429DC"/>
    <w:rsid w:val="00F60E14"/>
    <w:rsid w:val="00F71047"/>
    <w:rsid w:val="00F75131"/>
    <w:rsid w:val="00F84B6F"/>
    <w:rsid w:val="00FA2382"/>
    <w:rsid w:val="00FA6FE2"/>
    <w:rsid w:val="00FB2D36"/>
    <w:rsid w:val="00FB3612"/>
    <w:rsid w:val="00FC38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387585"/>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4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2BE"/>
  </w:style>
  <w:style w:type="paragraph" w:styleId="Header">
    <w:name w:val="header"/>
    <w:basedOn w:val="Normal"/>
    <w:link w:val="HeaderChar"/>
    <w:uiPriority w:val="99"/>
    <w:unhideWhenUsed/>
    <w:rsid w:val="001D4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2BE"/>
  </w:style>
  <w:style w:type="character" w:styleId="PageNumber">
    <w:name w:val="page number"/>
    <w:rsid w:val="001D42BE"/>
    <w:rPr>
      <w:sz w:val="18"/>
    </w:rPr>
  </w:style>
  <w:style w:type="character" w:styleId="Hyperlink">
    <w:name w:val="Hyperlink"/>
    <w:basedOn w:val="DefaultParagraphFont"/>
    <w:uiPriority w:val="99"/>
    <w:unhideWhenUsed/>
    <w:rsid w:val="001D42BE"/>
    <w:rPr>
      <w:color w:val="0000FF" w:themeColor="hyperlink"/>
      <w:u w:val="single"/>
    </w:rPr>
  </w:style>
  <w:style w:type="paragraph" w:styleId="BalloonText">
    <w:name w:val="Balloon Text"/>
    <w:basedOn w:val="Normal"/>
    <w:link w:val="BalloonTextChar"/>
    <w:uiPriority w:val="99"/>
    <w:semiHidden/>
    <w:unhideWhenUsed/>
    <w:rsid w:val="001D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2BE"/>
    <w:rPr>
      <w:rFonts w:ascii="Tahoma" w:hAnsi="Tahoma" w:cs="Tahoma"/>
      <w:sz w:val="16"/>
      <w:szCs w:val="16"/>
    </w:rPr>
  </w:style>
  <w:style w:type="paragraph" w:styleId="ListParagraph">
    <w:name w:val="List Paragraph"/>
    <w:basedOn w:val="Normal"/>
    <w:uiPriority w:val="34"/>
    <w:qFormat/>
    <w:rsid w:val="0054246A"/>
    <w:pPr>
      <w:ind w:left="720"/>
      <w:contextualSpacing/>
    </w:pPr>
  </w:style>
  <w:style w:type="character" w:styleId="FollowedHyperlink">
    <w:name w:val="FollowedHyperlink"/>
    <w:basedOn w:val="DefaultParagraphFont"/>
    <w:uiPriority w:val="99"/>
    <w:semiHidden/>
    <w:unhideWhenUsed/>
    <w:rsid w:val="00D15012"/>
    <w:rPr>
      <w:color w:val="800080" w:themeColor="followedHyperlink"/>
      <w:u w:val="single"/>
    </w:rPr>
  </w:style>
  <w:style w:type="character" w:customStyle="1" w:styleId="Heading1Char">
    <w:name w:val="Heading 1 Char"/>
    <w:basedOn w:val="DefaultParagraphFont"/>
    <w:link w:val="Heading1"/>
    <w:rsid w:val="00387585"/>
    <w:rPr>
      <w:rFonts w:ascii="Times New Roman" w:eastAsia="Times New Roman" w:hAnsi="Times New Roman" w:cs="Times New Roman"/>
      <w:b/>
      <w:bCs/>
      <w:sz w:val="24"/>
      <w:szCs w:val="24"/>
    </w:rPr>
  </w:style>
  <w:style w:type="table" w:styleId="TableGrid">
    <w:name w:val="Table Grid"/>
    <w:basedOn w:val="TableNormal"/>
    <w:uiPriority w:val="59"/>
    <w:rsid w:val="00D22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387585"/>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4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2BE"/>
  </w:style>
  <w:style w:type="paragraph" w:styleId="Header">
    <w:name w:val="header"/>
    <w:basedOn w:val="Normal"/>
    <w:link w:val="HeaderChar"/>
    <w:uiPriority w:val="99"/>
    <w:unhideWhenUsed/>
    <w:rsid w:val="001D4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2BE"/>
  </w:style>
  <w:style w:type="character" w:styleId="PageNumber">
    <w:name w:val="page number"/>
    <w:rsid w:val="001D42BE"/>
    <w:rPr>
      <w:sz w:val="18"/>
    </w:rPr>
  </w:style>
  <w:style w:type="character" w:styleId="Hyperlink">
    <w:name w:val="Hyperlink"/>
    <w:basedOn w:val="DefaultParagraphFont"/>
    <w:uiPriority w:val="99"/>
    <w:unhideWhenUsed/>
    <w:rsid w:val="001D42BE"/>
    <w:rPr>
      <w:color w:val="0000FF" w:themeColor="hyperlink"/>
      <w:u w:val="single"/>
    </w:rPr>
  </w:style>
  <w:style w:type="paragraph" w:styleId="BalloonText">
    <w:name w:val="Balloon Text"/>
    <w:basedOn w:val="Normal"/>
    <w:link w:val="BalloonTextChar"/>
    <w:uiPriority w:val="99"/>
    <w:semiHidden/>
    <w:unhideWhenUsed/>
    <w:rsid w:val="001D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2BE"/>
    <w:rPr>
      <w:rFonts w:ascii="Tahoma" w:hAnsi="Tahoma" w:cs="Tahoma"/>
      <w:sz w:val="16"/>
      <w:szCs w:val="16"/>
    </w:rPr>
  </w:style>
  <w:style w:type="paragraph" w:styleId="ListParagraph">
    <w:name w:val="List Paragraph"/>
    <w:basedOn w:val="Normal"/>
    <w:uiPriority w:val="34"/>
    <w:qFormat/>
    <w:rsid w:val="0054246A"/>
    <w:pPr>
      <w:ind w:left="720"/>
      <w:contextualSpacing/>
    </w:pPr>
  </w:style>
  <w:style w:type="character" w:styleId="FollowedHyperlink">
    <w:name w:val="FollowedHyperlink"/>
    <w:basedOn w:val="DefaultParagraphFont"/>
    <w:uiPriority w:val="99"/>
    <w:semiHidden/>
    <w:unhideWhenUsed/>
    <w:rsid w:val="00D15012"/>
    <w:rPr>
      <w:color w:val="800080" w:themeColor="followedHyperlink"/>
      <w:u w:val="single"/>
    </w:rPr>
  </w:style>
  <w:style w:type="character" w:customStyle="1" w:styleId="Heading1Char">
    <w:name w:val="Heading 1 Char"/>
    <w:basedOn w:val="DefaultParagraphFont"/>
    <w:link w:val="Heading1"/>
    <w:rsid w:val="00387585"/>
    <w:rPr>
      <w:rFonts w:ascii="Times New Roman" w:eastAsia="Times New Roman" w:hAnsi="Times New Roman" w:cs="Times New Roman"/>
      <w:b/>
      <w:bCs/>
      <w:sz w:val="24"/>
      <w:szCs w:val="24"/>
    </w:rPr>
  </w:style>
  <w:style w:type="table" w:styleId="TableGrid">
    <w:name w:val="Table Grid"/>
    <w:basedOn w:val="TableNormal"/>
    <w:uiPriority w:val="59"/>
    <w:rsid w:val="00D22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212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altaconferencesfoundation.org/"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acs.org/content/acs/en/about/governance/committees/training/acsapproved.htm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cs.org/getinvolved"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teachchemistry.org/content/aact/en.html"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http://www.acs.org" TargetMode="External"/><Relationship Id="rId14" Type="http://schemas.openxmlformats.org/officeDocument/2006/relationships/hyperlink" Target="https://www.teachchemistry.org/content/aact/en.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527F64-117B-47E5-B117-5E19C2116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1975</Words>
  <Characters>11259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13208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Walworth</dc:creator>
  <cp:lastModifiedBy>David Gottfried</cp:lastModifiedBy>
  <cp:revision>3</cp:revision>
  <cp:lastPrinted>2015-03-24T19:49:00Z</cp:lastPrinted>
  <dcterms:created xsi:type="dcterms:W3CDTF">2015-03-26T19:55:00Z</dcterms:created>
  <dcterms:modified xsi:type="dcterms:W3CDTF">2015-04-06T12:53:00Z</dcterms:modified>
</cp:coreProperties>
</file>